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rPr>
          <w:rFonts w:hint="default" w:eastAsia="黑体" w:cs="方正小标宋简体"/>
          <w:szCs w:val="32"/>
          <w:lang w:val="en-US" w:eastAsia="zh-CN"/>
        </w:rPr>
      </w:pPr>
      <w:r>
        <w:rPr>
          <w:rFonts w:hint="eastAsia" w:eastAsia="黑体" w:cs="方正小标宋简体"/>
          <w:szCs w:val="32"/>
          <w:lang w:eastAsia="zh-CN"/>
        </w:rPr>
        <w:t>附件</w:t>
      </w:r>
      <w:r>
        <w:rPr>
          <w:rFonts w:hint="eastAsia" w:eastAsia="黑体" w:cs="方正小标宋简体"/>
          <w:szCs w:val="32"/>
          <w:lang w:val="en-US" w:eastAsia="zh-CN"/>
        </w:rPr>
        <w:t>2</w:t>
      </w:r>
    </w:p>
    <w:p>
      <w:pPr>
        <w:spacing w:line="640" w:lineRule="exact"/>
        <w:ind w:firstLine="0" w:firstLineChars="0"/>
      </w:pPr>
      <w:r>
        <w:rPr>
          <w:rFonts w:hint="eastAsia" w:eastAsia="黑体" w:cs="方正小标宋简体"/>
          <w:szCs w:val="32"/>
        </w:rPr>
        <w:t>两项改革“后半篇”文章乡镇级片区应急体系专项规划</w:t>
      </w:r>
    </w:p>
    <w:p>
      <w:pPr>
        <w:spacing w:line="640" w:lineRule="exact"/>
        <w:jc w:val="center"/>
      </w:pPr>
    </w:p>
    <w:p>
      <w:pPr>
        <w:spacing w:line="640" w:lineRule="exact"/>
        <w:ind w:firstLine="0" w:firstLineChars="0"/>
        <w:jc w:val="center"/>
        <w:rPr>
          <w:rFonts w:eastAsia="方正小标宋简体" w:cs="方正小标宋简体"/>
          <w:b/>
          <w:bCs/>
          <w:sz w:val="44"/>
          <w:szCs w:val="44"/>
        </w:rPr>
      </w:pPr>
    </w:p>
    <w:p>
      <w:pPr>
        <w:spacing w:line="640" w:lineRule="exact"/>
        <w:ind w:firstLine="0" w:firstLineChars="0"/>
        <w:jc w:val="center"/>
        <w:rPr>
          <w:rFonts w:eastAsia="方正小标宋简体" w:cs="方正小标宋简体"/>
          <w:b/>
          <w:bCs/>
          <w:sz w:val="44"/>
          <w:szCs w:val="44"/>
        </w:rPr>
      </w:pPr>
    </w:p>
    <w:p>
      <w:pPr>
        <w:spacing w:line="640" w:lineRule="exact"/>
        <w:ind w:firstLine="0" w:firstLineChars="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fldChar w:fldCharType="begin"/>
      </w:r>
      <w:r>
        <w:rPr>
          <w:rFonts w:hint="eastAsia" w:ascii="方正小标宋_GBK" w:hAnsi="方正小标宋_GBK" w:eastAsia="方正小标宋_GBK" w:cs="方正小标宋_GBK"/>
          <w:b/>
          <w:bCs/>
          <w:sz w:val="44"/>
          <w:szCs w:val="44"/>
        </w:rPr>
        <w:instrText xml:space="preserve"> HYPERLINK \l "_Toc97037308" </w:instrText>
      </w:r>
      <w:r>
        <w:rPr>
          <w:rFonts w:hint="eastAsia" w:ascii="方正小标宋_GBK" w:hAnsi="方正小标宋_GBK" w:eastAsia="方正小标宋_GBK" w:cs="方正小标宋_GBK"/>
          <w:b/>
          <w:bCs/>
          <w:sz w:val="44"/>
          <w:szCs w:val="44"/>
        </w:rPr>
        <w:fldChar w:fldCharType="separate"/>
      </w:r>
      <w:r>
        <w:rPr>
          <w:rFonts w:hint="eastAsia" w:ascii="方正小标宋_GBK" w:hAnsi="方正小标宋_GBK" w:eastAsia="方正小标宋_GBK" w:cs="方正小标宋_GBK"/>
          <w:b/>
          <w:bCs/>
          <w:sz w:val="44"/>
          <w:szCs w:val="44"/>
        </w:rPr>
        <w:t>乐至县</w:t>
      </w:r>
    </w:p>
    <w:p>
      <w:pPr>
        <w:spacing w:line="640"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pacing w:val="-20"/>
          <w:sz w:val="44"/>
          <w:szCs w:val="44"/>
        </w:rPr>
        <w:t>东山林业蚕桑融合发展片区应急体系专项规划</w:t>
      </w:r>
      <w:r>
        <w:rPr>
          <w:rFonts w:hint="eastAsia" w:ascii="方正小标宋_GBK" w:hAnsi="方正小标宋_GBK" w:eastAsia="方正小标宋_GBK" w:cs="方正小标宋_GBK"/>
          <w:b/>
          <w:bCs/>
          <w:sz w:val="44"/>
          <w:szCs w:val="44"/>
        </w:rPr>
        <w:fldChar w:fldCharType="end"/>
      </w:r>
    </w:p>
    <w:p>
      <w:pPr>
        <w:spacing w:line="640" w:lineRule="exact"/>
        <w:ind w:firstLine="0" w:firstLineChars="0"/>
        <w:jc w:val="center"/>
        <w:rPr>
          <w:rFonts w:ascii="方正小标宋_GBK" w:hAnsi="方正小标宋_GBK" w:eastAsia="方正小标宋_GBK" w:cs="方正小标宋_GBK"/>
          <w:b/>
          <w:bCs/>
          <w:sz w:val="44"/>
          <w:szCs w:val="44"/>
        </w:rPr>
      </w:pPr>
      <w:r>
        <w:rPr>
          <w:rFonts w:hint="eastAsia" w:eastAsia="方正小标宋简体" w:cs="方正小标宋简体"/>
          <w:b/>
          <w:bCs/>
          <w:sz w:val="44"/>
          <w:szCs w:val="44"/>
          <w:lang w:eastAsia="zh-CN"/>
        </w:rPr>
        <w:t>（征求意见稿）</w:t>
      </w:r>
    </w:p>
    <w:p>
      <w:pPr>
        <w:spacing w:line="640" w:lineRule="exact"/>
        <w:ind w:firstLine="0" w:firstLineChars="0"/>
        <w:jc w:val="center"/>
        <w:rPr>
          <w:rStyle w:val="13"/>
          <w:rFonts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b/>
          <w:bCs/>
          <w:sz w:val="44"/>
          <w:szCs w:val="44"/>
        </w:rPr>
        <w:t>（2021-2035年）</w:t>
      </w:r>
    </w:p>
    <w:p>
      <w:pPr>
        <w:ind w:firstLine="560"/>
        <w:rPr>
          <w:rStyle w:val="13"/>
          <w:sz w:val="28"/>
          <w:szCs w:val="28"/>
          <w:u w:val="none"/>
        </w:rPr>
      </w:pPr>
    </w:p>
    <w:p>
      <w:pPr>
        <w:ind w:firstLine="560"/>
        <w:rPr>
          <w:rStyle w:val="13"/>
          <w:sz w:val="28"/>
          <w:szCs w:val="28"/>
          <w:u w:val="none"/>
        </w:rPr>
      </w:pPr>
    </w:p>
    <w:p>
      <w:pPr>
        <w:jc w:val="center"/>
        <w:rPr>
          <w:szCs w:val="32"/>
        </w:rPr>
      </w:pPr>
      <w:bookmarkStart w:id="44" w:name="_GoBack"/>
      <w:bookmarkEnd w:id="44"/>
    </w:p>
    <w:p>
      <w:pPr>
        <w:jc w:val="center"/>
        <w:rPr>
          <w:szCs w:val="32"/>
        </w:rPr>
      </w:pPr>
    </w:p>
    <w:p>
      <w:pPr>
        <w:jc w:val="center"/>
        <w:rPr>
          <w:szCs w:val="32"/>
        </w:rPr>
      </w:pPr>
    </w:p>
    <w:p>
      <w:pPr>
        <w:jc w:val="center"/>
        <w:rPr>
          <w:szCs w:val="32"/>
        </w:rPr>
      </w:pPr>
      <w:r>
        <w:rPr>
          <w:rFonts w:hint="eastAsia"/>
          <w:szCs w:val="32"/>
        </w:rPr>
        <w:t>（文本、图集）</w:t>
      </w:r>
    </w:p>
    <w:p>
      <w:pPr>
        <w:ind w:firstLine="560"/>
        <w:rPr>
          <w:rStyle w:val="13"/>
          <w:sz w:val="28"/>
          <w:szCs w:val="28"/>
          <w:u w:val="none"/>
        </w:rPr>
      </w:pPr>
    </w:p>
    <w:p>
      <w:pPr>
        <w:ind w:firstLine="643"/>
        <w:jc w:val="center"/>
        <w:rPr>
          <w:rFonts w:eastAsia="黑体" w:cs="仿宋"/>
          <w:b/>
          <w:bCs/>
          <w:szCs w:val="32"/>
        </w:rPr>
      </w:pPr>
    </w:p>
    <w:p>
      <w:pPr>
        <w:ind w:firstLine="643"/>
        <w:jc w:val="center"/>
        <w:rPr>
          <w:rFonts w:eastAsia="黑体" w:cs="仿宋"/>
          <w:b/>
          <w:bCs/>
          <w:szCs w:val="32"/>
        </w:rPr>
      </w:pPr>
    </w:p>
    <w:p>
      <w:pPr>
        <w:ind w:firstLine="643"/>
        <w:jc w:val="center"/>
        <w:rPr>
          <w:rFonts w:eastAsia="黑体" w:cs="仿宋"/>
          <w:b/>
          <w:bCs/>
          <w:szCs w:val="32"/>
        </w:rPr>
      </w:pPr>
    </w:p>
    <w:p>
      <w:pPr>
        <w:ind w:firstLine="643"/>
        <w:jc w:val="center"/>
        <w:rPr>
          <w:rFonts w:eastAsia="黑体" w:cs="仿宋"/>
          <w:b/>
          <w:bCs/>
          <w:szCs w:val="32"/>
        </w:rPr>
      </w:pPr>
    </w:p>
    <w:p>
      <w:pPr>
        <w:jc w:val="center"/>
        <w:rPr>
          <w:rFonts w:eastAsia="黑体" w:cs="仿宋"/>
          <w:szCs w:val="32"/>
        </w:rPr>
      </w:pPr>
      <w:r>
        <w:rPr>
          <w:rFonts w:hint="eastAsia" w:eastAsia="黑体" w:cs="仿宋"/>
          <w:szCs w:val="32"/>
        </w:rPr>
        <w:t>乐至县应急局</w:t>
      </w:r>
    </w:p>
    <w:p>
      <w:pPr>
        <w:pStyle w:val="6"/>
        <w:jc w:val="center"/>
        <w:rPr>
          <w:rFonts w:eastAsia="黑体" w:cs="仿宋"/>
          <w:sz w:val="32"/>
          <w:szCs w:val="32"/>
        </w:rPr>
      </w:pPr>
      <w:r>
        <w:rPr>
          <w:rFonts w:hint="eastAsia" w:eastAsia="黑体" w:cs="仿宋"/>
          <w:sz w:val="32"/>
          <w:szCs w:val="32"/>
        </w:rPr>
        <w:t>二〇二二年五月</w:t>
      </w:r>
    </w:p>
    <w:p>
      <w:pPr>
        <w:spacing w:line="240" w:lineRule="auto"/>
        <w:ind w:firstLine="0" w:firstLineChars="0"/>
        <w:jc w:val="center"/>
        <w:rPr>
          <w:rFonts w:ascii="黑体" w:hAnsi="黑体" w:eastAsia="黑体" w:cs="黑体"/>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bookmarkStart w:id="0" w:name="_Toc27088"/>
      <w:bookmarkStart w:id="1" w:name="_Toc99734369"/>
    </w:p>
    <w:sdt>
      <w:sdtPr>
        <w:rPr>
          <w:rFonts w:hint="eastAsia" w:ascii="黑体" w:hAnsi="黑体" w:eastAsia="黑体" w:cs="黑体"/>
          <w:sz w:val="44"/>
          <w:szCs w:val="44"/>
        </w:rPr>
        <w:id w:val="147480436"/>
        <w:docPartObj>
          <w:docPartGallery w:val="Table of Contents"/>
          <w:docPartUnique/>
        </w:docPartObj>
      </w:sdtPr>
      <w:sdtEndPr>
        <w:rPr>
          <w:rFonts w:hint="eastAsia" w:ascii="Times New Roman" w:hAnsi="Times New Roman" w:eastAsia="黑体" w:cs="Times New Roman"/>
          <w:b/>
          <w:bCs/>
          <w:kern w:val="44"/>
          <w:sz w:val="32"/>
          <w:szCs w:val="44"/>
        </w:rPr>
      </w:sdtEndPr>
      <w:sdtContent>
        <w:p>
          <w:pPr>
            <w:spacing w:line="240" w:lineRule="auto"/>
            <w:ind w:firstLine="0" w:firstLineChars="0"/>
            <w:jc w:val="center"/>
            <w:rPr>
              <w:rFonts w:ascii="黑体" w:hAnsi="黑体" w:eastAsia="黑体" w:cs="黑体"/>
              <w:sz w:val="44"/>
              <w:szCs w:val="44"/>
            </w:rPr>
          </w:pPr>
          <w:r>
            <w:rPr>
              <w:rFonts w:hint="eastAsia" w:ascii="黑体" w:hAnsi="黑体" w:eastAsia="黑体" w:cs="黑体"/>
              <w:sz w:val="44"/>
              <w:szCs w:val="44"/>
            </w:rPr>
            <w:t>目录</w:t>
          </w:r>
        </w:p>
        <w:p>
          <w:pPr>
            <w:pStyle w:val="8"/>
            <w:tabs>
              <w:tab w:val="right" w:leader="dot" w:pos="8306"/>
            </w:tabs>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"_Toc7253" </w:instrText>
          </w:r>
          <w:r>
            <w:fldChar w:fldCharType="separate"/>
          </w:r>
          <w:r>
            <w:rPr>
              <w:rFonts w:hint="eastAsia" w:ascii="黑体" w:hAnsi="黑体" w:eastAsia="黑体" w:cs="黑体"/>
            </w:rPr>
            <w:t>一、总则</w:t>
          </w:r>
          <w:r>
            <w:tab/>
          </w:r>
          <w:r>
            <w:fldChar w:fldCharType="begin"/>
          </w:r>
          <w:r>
            <w:instrText xml:space="preserve"> PAGEREF _Toc7253 \h </w:instrText>
          </w:r>
          <w:r>
            <w:fldChar w:fldCharType="separate"/>
          </w:r>
          <w:r>
            <w:t>1</w:t>
          </w:r>
          <w:r>
            <w:fldChar w:fldCharType="end"/>
          </w:r>
          <w:r>
            <w:fldChar w:fldCharType="end"/>
          </w:r>
        </w:p>
        <w:p>
          <w:pPr>
            <w:pStyle w:val="9"/>
            <w:tabs>
              <w:tab w:val="right" w:leader="dot" w:pos="8306"/>
            </w:tabs>
            <w:ind w:left="640"/>
          </w:pPr>
          <w:r>
            <w:fldChar w:fldCharType="begin"/>
          </w:r>
          <w:r>
            <w:instrText xml:space="preserve"> HYPERLINK \l "_Toc21959" </w:instrText>
          </w:r>
          <w:r>
            <w:fldChar w:fldCharType="separate"/>
          </w:r>
          <w:r>
            <w:rPr>
              <w:rFonts w:hint="eastAsia" w:ascii="楷体" w:hAnsi="楷体" w:eastAsia="楷体" w:cs="楷体"/>
            </w:rPr>
            <w:t>（一）地位作用</w:t>
          </w:r>
          <w:r>
            <w:tab/>
          </w:r>
          <w:r>
            <w:fldChar w:fldCharType="begin"/>
          </w:r>
          <w:r>
            <w:instrText xml:space="preserve"> PAGEREF _Toc21959 \h </w:instrText>
          </w:r>
          <w:r>
            <w:fldChar w:fldCharType="separate"/>
          </w:r>
          <w:r>
            <w:t>1</w:t>
          </w:r>
          <w:r>
            <w:fldChar w:fldCharType="end"/>
          </w:r>
          <w:r>
            <w:fldChar w:fldCharType="end"/>
          </w:r>
        </w:p>
        <w:p>
          <w:pPr>
            <w:pStyle w:val="9"/>
            <w:tabs>
              <w:tab w:val="right" w:leader="dot" w:pos="8306"/>
            </w:tabs>
            <w:ind w:left="640"/>
          </w:pPr>
          <w:r>
            <w:fldChar w:fldCharType="begin"/>
          </w:r>
          <w:r>
            <w:instrText xml:space="preserve"> HYPERLINK \l "_Toc24272" </w:instrText>
          </w:r>
          <w:r>
            <w:fldChar w:fldCharType="separate"/>
          </w:r>
          <w:r>
            <w:rPr>
              <w:rFonts w:hint="eastAsia" w:ascii="楷体" w:hAnsi="楷体" w:eastAsia="楷体" w:cs="楷体"/>
            </w:rPr>
            <w:t>（二）规划依据</w:t>
          </w:r>
          <w:r>
            <w:tab/>
          </w:r>
          <w:r>
            <w:fldChar w:fldCharType="begin"/>
          </w:r>
          <w:r>
            <w:instrText xml:space="preserve"> PAGEREF _Toc24272 \h </w:instrText>
          </w:r>
          <w:r>
            <w:fldChar w:fldCharType="separate"/>
          </w:r>
          <w:r>
            <w:t>1</w:t>
          </w:r>
          <w:r>
            <w:fldChar w:fldCharType="end"/>
          </w:r>
          <w:r>
            <w:fldChar w:fldCharType="end"/>
          </w:r>
        </w:p>
        <w:p>
          <w:pPr>
            <w:pStyle w:val="9"/>
            <w:tabs>
              <w:tab w:val="right" w:leader="dot" w:pos="8306"/>
            </w:tabs>
            <w:ind w:left="640"/>
          </w:pPr>
          <w:r>
            <w:fldChar w:fldCharType="begin"/>
          </w:r>
          <w:r>
            <w:instrText xml:space="preserve"> HYPERLINK \l "_Toc18441" </w:instrText>
          </w:r>
          <w:r>
            <w:fldChar w:fldCharType="separate"/>
          </w:r>
          <w:r>
            <w:rPr>
              <w:rFonts w:hint="eastAsia" w:ascii="楷体" w:hAnsi="楷体" w:eastAsia="楷体" w:cs="楷体"/>
            </w:rPr>
            <w:t>（三）规划原则</w:t>
          </w:r>
          <w:r>
            <w:tab/>
          </w:r>
          <w:r>
            <w:fldChar w:fldCharType="begin"/>
          </w:r>
          <w:r>
            <w:instrText xml:space="preserve"> PAGEREF _Toc18441 \h </w:instrText>
          </w:r>
          <w:r>
            <w:fldChar w:fldCharType="separate"/>
          </w:r>
          <w:r>
            <w:t>2</w:t>
          </w:r>
          <w:r>
            <w:fldChar w:fldCharType="end"/>
          </w:r>
          <w:r>
            <w:fldChar w:fldCharType="end"/>
          </w:r>
        </w:p>
        <w:p>
          <w:pPr>
            <w:pStyle w:val="9"/>
            <w:tabs>
              <w:tab w:val="right" w:leader="dot" w:pos="8306"/>
            </w:tabs>
            <w:ind w:left="640"/>
          </w:pPr>
          <w:r>
            <w:fldChar w:fldCharType="begin"/>
          </w:r>
          <w:r>
            <w:instrText xml:space="preserve"> HYPERLINK \l "_Toc21008" </w:instrText>
          </w:r>
          <w:r>
            <w:fldChar w:fldCharType="separate"/>
          </w:r>
          <w:r>
            <w:rPr>
              <w:rFonts w:hint="eastAsia" w:ascii="楷体" w:hAnsi="楷体" w:eastAsia="楷体" w:cs="楷体"/>
            </w:rPr>
            <w:t>（四）规划期限</w:t>
          </w:r>
          <w:r>
            <w:tab/>
          </w:r>
          <w:r>
            <w:fldChar w:fldCharType="begin"/>
          </w:r>
          <w:r>
            <w:instrText xml:space="preserve"> PAGEREF _Toc21008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"_Toc10968" </w:instrText>
          </w:r>
          <w:r>
            <w:fldChar w:fldCharType="separate"/>
          </w:r>
          <w:r>
            <w:rPr>
              <w:rFonts w:hint="eastAsia" w:ascii="黑体" w:hAnsi="黑体" w:eastAsia="黑体" w:cs="黑体"/>
            </w:rPr>
            <w:t>二、规划背景</w:t>
          </w:r>
          <w:r>
            <w:tab/>
          </w:r>
          <w:r>
            <w:fldChar w:fldCharType="begin"/>
          </w:r>
          <w:r>
            <w:instrText xml:space="preserve"> PAGEREF _Toc10968 \h </w:instrText>
          </w:r>
          <w:r>
            <w:fldChar w:fldCharType="separate"/>
          </w:r>
          <w:r>
            <w:t>3</w:t>
          </w:r>
          <w:r>
            <w:fldChar w:fldCharType="end"/>
          </w:r>
          <w:r>
            <w:fldChar w:fldCharType="end"/>
          </w:r>
        </w:p>
        <w:p>
          <w:pPr>
            <w:pStyle w:val="9"/>
            <w:tabs>
              <w:tab w:val="right" w:leader="dot" w:pos="8306"/>
            </w:tabs>
            <w:ind w:left="640"/>
          </w:pPr>
          <w:r>
            <w:fldChar w:fldCharType="begin"/>
          </w:r>
          <w:r>
            <w:instrText xml:space="preserve"> HYPERLINK \l "_Toc9242" </w:instrText>
          </w:r>
          <w:r>
            <w:fldChar w:fldCharType="separate"/>
          </w:r>
          <w:r>
            <w:rPr>
              <w:rFonts w:hint="eastAsia" w:ascii="楷体" w:hAnsi="楷体" w:eastAsia="楷体" w:cs="楷体"/>
            </w:rPr>
            <w:t>第一节片区现状</w:t>
          </w:r>
          <w:r>
            <w:tab/>
          </w:r>
          <w:r>
            <w:fldChar w:fldCharType="begin"/>
          </w:r>
          <w:r>
            <w:instrText xml:space="preserve"> PAGEREF _Toc9242 \h </w:instrText>
          </w:r>
          <w:r>
            <w:fldChar w:fldCharType="separate"/>
          </w:r>
          <w:r>
            <w:t>3</w:t>
          </w:r>
          <w:r>
            <w:fldChar w:fldCharType="end"/>
          </w:r>
          <w:r>
            <w:fldChar w:fldCharType="end"/>
          </w:r>
        </w:p>
        <w:p>
          <w:pPr>
            <w:pStyle w:val="9"/>
            <w:tabs>
              <w:tab w:val="right" w:leader="dot" w:pos="8306"/>
            </w:tabs>
            <w:ind w:left="640"/>
          </w:pPr>
          <w:r>
            <w:fldChar w:fldCharType="begin"/>
          </w:r>
          <w:r>
            <w:instrText xml:space="preserve"> HYPERLINK \l "_Toc13556" </w:instrText>
          </w:r>
          <w:r>
            <w:fldChar w:fldCharType="separate"/>
          </w:r>
          <w:r>
            <w:rPr>
              <w:rFonts w:hint="eastAsia" w:ascii="楷体" w:hAnsi="楷体" w:eastAsia="楷体" w:cs="楷体"/>
            </w:rPr>
            <w:t>第二节面临形势</w:t>
          </w:r>
          <w:r>
            <w:tab/>
          </w:r>
          <w:r>
            <w:fldChar w:fldCharType="begin"/>
          </w:r>
          <w:r>
            <w:instrText xml:space="preserve"> PAGEREF _Toc13556 \h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"_Toc13880" </w:instrText>
          </w:r>
          <w:r>
            <w:fldChar w:fldCharType="separate"/>
          </w:r>
          <w:r>
            <w:rPr>
              <w:rFonts w:hint="eastAsia" w:ascii="黑体" w:hAnsi="黑体" w:eastAsia="黑体" w:cs="黑体"/>
            </w:rPr>
            <w:t>三、规划目标</w:t>
          </w:r>
          <w:r>
            <w:tab/>
          </w:r>
          <w:r>
            <w:fldChar w:fldCharType="begin"/>
          </w:r>
          <w:r>
            <w:instrText xml:space="preserve"> PAGEREF _Toc13880 \h </w:instrText>
          </w:r>
          <w:r>
            <w:fldChar w:fldCharType="separate"/>
          </w:r>
          <w:r>
            <w:t>7</w:t>
          </w:r>
          <w:r>
            <w:fldChar w:fldCharType="end"/>
          </w:r>
          <w:r>
            <w:fldChar w:fldCharType="end"/>
          </w:r>
        </w:p>
        <w:p>
          <w:pPr>
            <w:pStyle w:val="9"/>
            <w:tabs>
              <w:tab w:val="right" w:leader="dot" w:pos="8306"/>
            </w:tabs>
            <w:ind w:left="640"/>
          </w:pPr>
          <w:r>
            <w:fldChar w:fldCharType="begin"/>
          </w:r>
          <w:r>
            <w:instrText xml:space="preserve"> HYPERLINK \l "_Toc23007" </w:instrText>
          </w:r>
          <w:r>
            <w:fldChar w:fldCharType="separate"/>
          </w:r>
          <w:r>
            <w:rPr>
              <w:rFonts w:hint="eastAsia" w:ascii="楷体" w:hAnsi="楷体" w:eastAsia="楷体" w:cs="楷体"/>
            </w:rPr>
            <w:t>（一）近期目标</w:t>
          </w:r>
          <w:r>
            <w:tab/>
          </w:r>
          <w:r>
            <w:fldChar w:fldCharType="begin"/>
          </w:r>
          <w:r>
            <w:instrText xml:space="preserve"> PAGEREF _Toc23007 \h </w:instrText>
          </w:r>
          <w:r>
            <w:fldChar w:fldCharType="separate"/>
          </w:r>
          <w:r>
            <w:t>7</w:t>
          </w:r>
          <w:r>
            <w:fldChar w:fldCharType="end"/>
          </w:r>
          <w:r>
            <w:fldChar w:fldCharType="end"/>
          </w:r>
        </w:p>
        <w:p>
          <w:pPr>
            <w:pStyle w:val="9"/>
            <w:tabs>
              <w:tab w:val="right" w:leader="dot" w:pos="8306"/>
            </w:tabs>
            <w:ind w:left="640"/>
          </w:pPr>
          <w:r>
            <w:fldChar w:fldCharType="begin"/>
          </w:r>
          <w:r>
            <w:instrText xml:space="preserve"> HYPERLINK \l "_Toc28606" </w:instrText>
          </w:r>
          <w:r>
            <w:fldChar w:fldCharType="separate"/>
          </w:r>
          <w:r>
            <w:rPr>
              <w:rFonts w:hint="eastAsia" w:ascii="楷体" w:hAnsi="楷体" w:eastAsia="楷体" w:cs="楷体"/>
            </w:rPr>
            <w:t>（二）远景目标</w:t>
          </w:r>
          <w:r>
            <w:tab/>
          </w:r>
          <w:r>
            <w:fldChar w:fldCharType="begin"/>
          </w:r>
          <w:r>
            <w:instrText xml:space="preserve"> PAGEREF _Toc28606 \h </w:instrText>
          </w:r>
          <w:r>
            <w:fldChar w:fldCharType="separate"/>
          </w:r>
          <w:r>
            <w:t>8</w:t>
          </w:r>
          <w:r>
            <w:fldChar w:fldCharType="end"/>
          </w:r>
          <w:r>
            <w:fldChar w:fldCharType="end"/>
          </w:r>
        </w:p>
        <w:p>
          <w:pPr>
            <w:pStyle w:val="8"/>
            <w:tabs>
              <w:tab w:val="right" w:leader="dot" w:pos="8306"/>
            </w:tabs>
          </w:pPr>
          <w:r>
            <w:fldChar w:fldCharType="begin"/>
          </w:r>
          <w:r>
            <w:instrText xml:space="preserve"> HYPERLINK \l "_Toc1558" </w:instrText>
          </w:r>
          <w:r>
            <w:fldChar w:fldCharType="separate"/>
          </w:r>
          <w:r>
            <w:rPr>
              <w:rFonts w:hint="eastAsia" w:ascii="黑体" w:hAnsi="黑体" w:eastAsia="黑体" w:cs="黑体"/>
            </w:rPr>
            <w:t>四、主要任务和重点工程</w:t>
          </w:r>
          <w:r>
            <w:tab/>
          </w:r>
          <w:r>
            <w:fldChar w:fldCharType="begin"/>
          </w:r>
          <w:r>
            <w:instrText xml:space="preserve"> PAGEREF _Toc1558 \h </w:instrText>
          </w:r>
          <w:r>
            <w:fldChar w:fldCharType="separate"/>
          </w:r>
          <w:r>
            <w:t>9</w:t>
          </w:r>
          <w:r>
            <w:fldChar w:fldCharType="end"/>
          </w:r>
          <w:r>
            <w:fldChar w:fldCharType="end"/>
          </w:r>
        </w:p>
        <w:p>
          <w:pPr>
            <w:pStyle w:val="9"/>
            <w:tabs>
              <w:tab w:val="right" w:leader="dot" w:pos="8306"/>
            </w:tabs>
            <w:ind w:left="640"/>
          </w:pPr>
          <w:r>
            <w:fldChar w:fldCharType="begin"/>
          </w:r>
          <w:r>
            <w:instrText xml:space="preserve"> HYPERLINK \l "_Toc27616" </w:instrText>
          </w:r>
          <w:r>
            <w:fldChar w:fldCharType="separate"/>
          </w:r>
          <w:r>
            <w:rPr>
              <w:rFonts w:hint="eastAsia" w:ascii="楷体" w:hAnsi="楷体" w:eastAsia="楷体" w:cs="楷体"/>
            </w:rPr>
            <w:t>（一）应急管理机制方面</w:t>
          </w:r>
          <w:r>
            <w:tab/>
          </w:r>
          <w:r>
            <w:fldChar w:fldCharType="begin"/>
          </w:r>
          <w:r>
            <w:instrText xml:space="preserve"> PAGEREF _Toc27616 \h </w:instrText>
          </w:r>
          <w:r>
            <w:fldChar w:fldCharType="separate"/>
          </w:r>
          <w:r>
            <w:t>9</w:t>
          </w:r>
          <w:r>
            <w:fldChar w:fldCharType="end"/>
          </w:r>
          <w:r>
            <w:fldChar w:fldCharType="end"/>
          </w:r>
        </w:p>
        <w:p>
          <w:pPr>
            <w:pStyle w:val="9"/>
            <w:tabs>
              <w:tab w:val="right" w:leader="dot" w:pos="8306"/>
            </w:tabs>
            <w:ind w:left="640"/>
          </w:pPr>
          <w:r>
            <w:fldChar w:fldCharType="begin"/>
          </w:r>
          <w:r>
            <w:instrText xml:space="preserve"> HYPERLINK \l "_Toc28154" </w:instrText>
          </w:r>
          <w:r>
            <w:fldChar w:fldCharType="separate"/>
          </w:r>
          <w:r>
            <w:rPr>
              <w:rFonts w:hint="eastAsia" w:ascii="楷体" w:hAnsi="楷体" w:eastAsia="楷体" w:cs="楷体"/>
            </w:rPr>
            <w:t>（二）安全生产风险防控方面</w:t>
          </w:r>
          <w:r>
            <w:tab/>
          </w:r>
          <w:r>
            <w:fldChar w:fldCharType="begin"/>
          </w:r>
          <w:r>
            <w:instrText xml:space="preserve"> PAGEREF _Toc28154 \h </w:instrText>
          </w:r>
          <w:r>
            <w:fldChar w:fldCharType="separate"/>
          </w:r>
          <w:r>
            <w:t>9</w:t>
          </w:r>
          <w:r>
            <w:fldChar w:fldCharType="end"/>
          </w:r>
          <w:r>
            <w:fldChar w:fldCharType="end"/>
          </w:r>
        </w:p>
        <w:p>
          <w:pPr>
            <w:pStyle w:val="9"/>
            <w:tabs>
              <w:tab w:val="right" w:leader="dot" w:pos="8306"/>
            </w:tabs>
            <w:ind w:left="640"/>
          </w:pPr>
          <w:r>
            <w:fldChar w:fldCharType="begin"/>
          </w:r>
          <w:r>
            <w:instrText xml:space="preserve"> HYPERLINK \l "_Toc886" </w:instrText>
          </w:r>
          <w:r>
            <w:fldChar w:fldCharType="separate"/>
          </w:r>
          <w:r>
            <w:rPr>
              <w:rFonts w:hint="eastAsia" w:ascii="楷体" w:hAnsi="楷体" w:eastAsia="楷体" w:cs="楷体"/>
            </w:rPr>
            <w:t>（三）自然灾害防治方面</w:t>
          </w:r>
          <w:r>
            <w:tab/>
          </w:r>
          <w:r>
            <w:fldChar w:fldCharType="begin"/>
          </w:r>
          <w:r>
            <w:instrText xml:space="preserve"> PAGEREF _Toc886 \h </w:instrText>
          </w:r>
          <w:r>
            <w:fldChar w:fldCharType="separate"/>
          </w:r>
          <w:r>
            <w:t>11</w:t>
          </w:r>
          <w:r>
            <w:fldChar w:fldCharType="end"/>
          </w:r>
          <w:r>
            <w:fldChar w:fldCharType="end"/>
          </w:r>
        </w:p>
        <w:p>
          <w:pPr>
            <w:pStyle w:val="9"/>
            <w:tabs>
              <w:tab w:val="right" w:leader="dot" w:pos="8306"/>
            </w:tabs>
            <w:ind w:left="640"/>
          </w:pPr>
          <w:r>
            <w:fldChar w:fldCharType="begin"/>
          </w:r>
          <w:r>
            <w:instrText xml:space="preserve"> HYPERLINK \l "_Toc3354" </w:instrText>
          </w:r>
          <w:r>
            <w:fldChar w:fldCharType="separate"/>
          </w:r>
          <w:r>
            <w:rPr>
              <w:rFonts w:hint="eastAsia" w:ascii="楷体" w:hAnsi="楷体" w:eastAsia="楷体" w:cs="楷体"/>
            </w:rPr>
            <w:t>（四）应急能力建设方面</w:t>
          </w:r>
          <w:r>
            <w:tab/>
          </w:r>
          <w:r>
            <w:fldChar w:fldCharType="begin"/>
          </w:r>
          <w:r>
            <w:instrText xml:space="preserve"> PAGEREF _Toc3354 \h </w:instrText>
          </w:r>
          <w:r>
            <w:fldChar w:fldCharType="separate"/>
          </w:r>
          <w:r>
            <w:t>12</w:t>
          </w:r>
          <w:r>
            <w:fldChar w:fldCharType="end"/>
          </w:r>
          <w:r>
            <w:fldChar w:fldCharType="end"/>
          </w:r>
        </w:p>
        <w:p>
          <w:pPr>
            <w:pStyle w:val="9"/>
            <w:tabs>
              <w:tab w:val="right" w:leader="dot" w:pos="8306"/>
            </w:tabs>
            <w:ind w:left="640"/>
          </w:pPr>
          <w:r>
            <w:fldChar w:fldCharType="begin"/>
          </w:r>
          <w:r>
            <w:instrText xml:space="preserve"> HYPERLINK \l "_Toc31131" </w:instrText>
          </w:r>
          <w:r>
            <w:fldChar w:fldCharType="separate"/>
          </w:r>
          <w:r>
            <w:rPr>
              <w:rFonts w:hint="eastAsia" w:ascii="楷体" w:hAnsi="楷体" w:eastAsia="楷体" w:cs="楷体"/>
            </w:rPr>
            <w:t>（五）先进技术应用方面</w:t>
          </w:r>
          <w:r>
            <w:tab/>
          </w:r>
          <w:r>
            <w:fldChar w:fldCharType="begin"/>
          </w:r>
          <w:r>
            <w:instrText xml:space="preserve"> PAGEREF _Toc31131 \h </w:instrText>
          </w:r>
          <w:r>
            <w:fldChar w:fldCharType="separate"/>
          </w:r>
          <w:r>
            <w:t>16</w:t>
          </w:r>
          <w:r>
            <w:fldChar w:fldCharType="end"/>
          </w:r>
          <w:r>
            <w:fldChar w:fldCharType="end"/>
          </w:r>
        </w:p>
        <w:p>
          <w:pPr>
            <w:pStyle w:val="9"/>
            <w:tabs>
              <w:tab w:val="right" w:leader="dot" w:pos="8306"/>
            </w:tabs>
            <w:ind w:left="640"/>
          </w:pPr>
          <w:r>
            <w:fldChar w:fldCharType="begin"/>
          </w:r>
          <w:r>
            <w:instrText xml:space="preserve"> HYPERLINK \l "_Toc8383" </w:instrText>
          </w:r>
          <w:r>
            <w:fldChar w:fldCharType="separate"/>
          </w:r>
          <w:r>
            <w:rPr>
              <w:rFonts w:hint="eastAsia" w:ascii="楷体" w:hAnsi="楷体" w:eastAsia="楷体" w:cs="楷体"/>
            </w:rPr>
            <w:t>（六）应急管理共建共治共享方面</w:t>
          </w:r>
          <w:r>
            <w:tab/>
          </w:r>
          <w:r>
            <w:fldChar w:fldCharType="begin"/>
          </w:r>
          <w:r>
            <w:instrText xml:space="preserve"> PAGEREF _Toc8383 \h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"_Toc2699" </w:instrText>
          </w:r>
          <w:r>
            <w:fldChar w:fldCharType="separate"/>
          </w:r>
          <w:r>
            <w:rPr>
              <w:rFonts w:hint="eastAsia" w:ascii="黑体" w:hAnsi="黑体" w:eastAsia="黑体" w:cs="黑体"/>
            </w:rPr>
            <w:t>五、保障措施</w:t>
          </w:r>
          <w:r>
            <w:tab/>
          </w:r>
          <w:r>
            <w:fldChar w:fldCharType="begin"/>
          </w:r>
          <w:r>
            <w:instrText xml:space="preserve"> PAGEREF _Toc2699 \h </w:instrText>
          </w:r>
          <w:r>
            <w:fldChar w:fldCharType="separate"/>
          </w:r>
          <w:r>
            <w:t>20</w:t>
          </w:r>
          <w:r>
            <w:fldChar w:fldCharType="end"/>
          </w:r>
          <w:r>
            <w:fldChar w:fldCharType="end"/>
          </w:r>
        </w:p>
        <w:p>
          <w:pPr>
            <w:pStyle w:val="9"/>
            <w:tabs>
              <w:tab w:val="right" w:leader="dot" w:pos="8306"/>
            </w:tabs>
            <w:ind w:left="640"/>
          </w:pPr>
          <w:r>
            <w:fldChar w:fldCharType="begin"/>
          </w:r>
          <w:r>
            <w:instrText xml:space="preserve"> HYPERLINK \l "_Toc32747" </w:instrText>
          </w:r>
          <w:r>
            <w:fldChar w:fldCharType="separate"/>
          </w:r>
          <w:r>
            <w:rPr>
              <w:rFonts w:hint="eastAsia" w:ascii="楷体" w:hAnsi="楷体" w:eastAsia="楷体" w:cs="楷体"/>
            </w:rPr>
            <w:t>（一）完善组织保障</w:t>
          </w:r>
          <w:r>
            <w:tab/>
          </w:r>
          <w:r>
            <w:fldChar w:fldCharType="begin"/>
          </w:r>
          <w:r>
            <w:instrText xml:space="preserve"> PAGEREF _Toc32747 \h </w:instrText>
          </w:r>
          <w:r>
            <w:fldChar w:fldCharType="separate"/>
          </w:r>
          <w:r>
            <w:t>20</w:t>
          </w:r>
          <w:r>
            <w:fldChar w:fldCharType="end"/>
          </w:r>
          <w:r>
            <w:fldChar w:fldCharType="end"/>
          </w:r>
        </w:p>
        <w:p>
          <w:pPr>
            <w:pStyle w:val="9"/>
            <w:tabs>
              <w:tab w:val="right" w:leader="dot" w:pos="8306"/>
            </w:tabs>
            <w:ind w:left="640"/>
          </w:pPr>
          <w:r>
            <w:fldChar w:fldCharType="begin"/>
          </w:r>
          <w:r>
            <w:instrText xml:space="preserve"> HYPERLINK \l "_Toc22065" </w:instrText>
          </w:r>
          <w:r>
            <w:fldChar w:fldCharType="separate"/>
          </w:r>
          <w:r>
            <w:rPr>
              <w:rFonts w:hint="eastAsia" w:ascii="楷体" w:hAnsi="楷体" w:eastAsia="楷体" w:cs="楷体"/>
            </w:rPr>
            <w:t>（二）强化资金保障</w:t>
          </w:r>
          <w:r>
            <w:tab/>
          </w:r>
          <w:r>
            <w:fldChar w:fldCharType="begin"/>
          </w:r>
          <w:r>
            <w:instrText xml:space="preserve"> PAGEREF _Toc22065 \h </w:instrText>
          </w:r>
          <w:r>
            <w:fldChar w:fldCharType="separate"/>
          </w:r>
          <w:r>
            <w:t>20</w:t>
          </w:r>
          <w:r>
            <w:fldChar w:fldCharType="end"/>
          </w:r>
          <w:r>
            <w:fldChar w:fldCharType="end"/>
          </w:r>
        </w:p>
        <w:p>
          <w:pPr>
            <w:pStyle w:val="9"/>
            <w:tabs>
              <w:tab w:val="right" w:leader="dot" w:pos="8306"/>
            </w:tabs>
            <w:ind w:left="640"/>
          </w:pPr>
          <w:r>
            <w:fldChar w:fldCharType="begin"/>
          </w:r>
          <w:r>
            <w:instrText xml:space="preserve"> HYPERLINK \l "_Toc1058" </w:instrText>
          </w:r>
          <w:r>
            <w:fldChar w:fldCharType="separate"/>
          </w:r>
          <w:r>
            <w:rPr>
              <w:rFonts w:hint="eastAsia" w:ascii="楷体" w:hAnsi="楷体" w:eastAsia="楷体" w:cs="楷体"/>
            </w:rPr>
            <w:t>（三）加大政策保障</w:t>
          </w:r>
          <w:r>
            <w:tab/>
          </w:r>
          <w:r>
            <w:fldChar w:fldCharType="begin"/>
          </w:r>
          <w:r>
            <w:instrText xml:space="preserve"> PAGEREF _Toc1058 \h </w:instrText>
          </w:r>
          <w:r>
            <w:fldChar w:fldCharType="separate"/>
          </w:r>
          <w:r>
            <w:t>20</w:t>
          </w:r>
          <w:r>
            <w:fldChar w:fldCharType="end"/>
          </w:r>
          <w:r>
            <w:fldChar w:fldCharType="end"/>
          </w:r>
        </w:p>
        <w:p>
          <w:pPr>
            <w:pStyle w:val="9"/>
            <w:tabs>
              <w:tab w:val="right" w:leader="dot" w:pos="8306"/>
            </w:tabs>
            <w:ind w:left="640"/>
          </w:pPr>
          <w:r>
            <w:fldChar w:fldCharType="begin"/>
          </w:r>
          <w:r>
            <w:instrText xml:space="preserve"> HYPERLINK \l "_Toc11315" </w:instrText>
          </w:r>
          <w:r>
            <w:fldChar w:fldCharType="separate"/>
          </w:r>
          <w:r>
            <w:rPr>
              <w:rFonts w:hint="eastAsia" w:ascii="楷体" w:hAnsi="楷体" w:eastAsia="楷体" w:cs="楷体"/>
            </w:rPr>
            <w:t>（四）强化督查问效</w:t>
          </w:r>
          <w:r>
            <w:tab/>
          </w:r>
          <w:r>
            <w:fldChar w:fldCharType="begin"/>
          </w:r>
          <w:r>
            <w:instrText xml:space="preserve"> PAGEREF _Toc11315 \h </w:instrText>
          </w:r>
          <w:r>
            <w:fldChar w:fldCharType="separate"/>
          </w:r>
          <w:r>
            <w:t>20</w:t>
          </w:r>
          <w:r>
            <w:fldChar w:fldCharType="end"/>
          </w:r>
          <w:r>
            <w:fldChar w:fldCharType="end"/>
          </w:r>
        </w:p>
        <w:p>
          <w:pPr>
            <w:ind w:firstLine="0" w:firstLineChars="0"/>
            <w:sectPr>
              <w:footerReference r:id="rId11" w:type="default"/>
              <w:pgSz w:w="11906" w:h="16838"/>
              <w:pgMar w:top="1440" w:right="1800" w:bottom="1440" w:left="1800" w:header="851" w:footer="992" w:gutter="0"/>
              <w:pgNumType w:start="1"/>
              <w:cols w:space="425" w:num="1"/>
              <w:docGrid w:type="lines" w:linePitch="312" w:charSpace="0"/>
            </w:sectPr>
          </w:pPr>
          <w:r>
            <w:rPr>
              <w:rFonts w:hint="eastAsia"/>
            </w:rPr>
            <w:fldChar w:fldCharType="end"/>
          </w:r>
        </w:p>
      </w:sdtContent>
    </w:sdt>
    <w:bookmarkEnd w:id="0"/>
    <w:bookmarkEnd w:id="1"/>
    <w:p>
      <w:pPr>
        <w:ind w:firstLine="0" w:firstLineChars="0"/>
        <w:jc w:val="center"/>
        <w:outlineLvl w:val="0"/>
        <w:rPr>
          <w:rFonts w:ascii="黑体" w:hAnsi="黑体" w:eastAsia="黑体" w:cs="黑体"/>
        </w:rPr>
      </w:pPr>
      <w:bookmarkStart w:id="2" w:name="_Toc7253"/>
      <w:r>
        <w:rPr>
          <w:rFonts w:hint="eastAsia" w:ascii="黑体" w:hAnsi="黑体" w:eastAsia="黑体" w:cs="黑体"/>
        </w:rPr>
        <w:t>一、总则</w:t>
      </w:r>
      <w:bookmarkEnd w:id="2"/>
    </w:p>
    <w:p>
      <w:pPr>
        <w:jc w:val="center"/>
        <w:outlineLvl w:val="1"/>
        <w:rPr>
          <w:rFonts w:ascii="楷体" w:hAnsi="楷体" w:eastAsia="楷体" w:cs="楷体"/>
        </w:rPr>
      </w:pPr>
      <w:bookmarkStart w:id="3" w:name="_Toc21959"/>
      <w:r>
        <w:rPr>
          <w:rFonts w:hint="eastAsia" w:ascii="楷体" w:hAnsi="楷体" w:eastAsia="楷体" w:cs="楷体"/>
        </w:rPr>
        <w:t>（一）地位作用</w:t>
      </w:r>
      <w:bookmarkEnd w:id="3"/>
    </w:p>
    <w:p>
      <w:r>
        <w:rPr>
          <w:rFonts w:hint="eastAsia"/>
        </w:rPr>
        <w:t>为全面落实县委县政府关于做好两项改革“后半篇”文章的重大举措，融合衔接乡镇级片区国土空间规划的实际需要，推进片区应急管理体系完善，应用自然灾害综合风险普查成果，根据相关文件规定，编制本规划。</w:t>
      </w:r>
    </w:p>
    <w:p>
      <w:pPr>
        <w:jc w:val="center"/>
        <w:outlineLvl w:val="1"/>
        <w:rPr>
          <w:rFonts w:ascii="楷体" w:hAnsi="楷体" w:eastAsia="楷体" w:cs="楷体"/>
        </w:rPr>
      </w:pPr>
      <w:bookmarkStart w:id="4" w:name="_Toc24272"/>
      <w:r>
        <w:rPr>
          <w:rFonts w:hint="eastAsia" w:ascii="楷体" w:hAnsi="楷体" w:eastAsia="楷体" w:cs="楷体"/>
        </w:rPr>
        <w:t>（二）规划依据</w:t>
      </w:r>
      <w:bookmarkEnd w:id="4"/>
    </w:p>
    <w:p>
      <w:r>
        <w:rPr>
          <w:rFonts w:hint="eastAsia"/>
        </w:rPr>
        <w:t>1.《中华人民共和国安全生产法》</w:t>
      </w:r>
    </w:p>
    <w:p>
      <w:r>
        <w:rPr>
          <w:rFonts w:hint="eastAsia"/>
        </w:rPr>
        <w:t>2.《中华人民共和国突发事件应对法》</w:t>
      </w:r>
    </w:p>
    <w:p>
      <w:r>
        <w:rPr>
          <w:rFonts w:hint="eastAsia"/>
        </w:rPr>
        <w:t>3.《四川省人民政府关于印发〈四川省“十四五”应急体系规划〉的通知》（川府发〔2021〕43号）</w:t>
      </w:r>
    </w:p>
    <w:p>
      <w:r>
        <w:rPr>
          <w:rFonts w:hint="eastAsia"/>
        </w:rPr>
        <w:t>4.《中共四川省委办公厅四川省人民政府办公厅印发〈关于全省县域内片区划分的指导意见〉〈关于以片区为单元编制乡村乡村国土空间规划的指导意见〉的通知》（川委厅〔2021〕53号）</w:t>
      </w:r>
    </w:p>
    <w:p>
      <w:r>
        <w:rPr>
          <w:rFonts w:hint="eastAsia"/>
        </w:rPr>
        <w:t>5.《中共四川省委办公厅四川省人民政府办公厅关于印发〈关于做好乡镇行政区划和村级建制调整改革“后半篇”文章的实施方案〉的通知》（川委厅〔2021〕6号）</w:t>
      </w:r>
    </w:p>
    <w:p>
      <w:r>
        <w:rPr>
          <w:rFonts w:hint="eastAsia"/>
        </w:rPr>
        <w:t>6.《四川省自然资源厅关于印发〈乡镇级片区专项规划省级工作方案〉的通知》（川自然资发〔2021〕43号）</w:t>
      </w:r>
    </w:p>
    <w:p>
      <w:r>
        <w:rPr>
          <w:rFonts w:hint="eastAsia"/>
        </w:rPr>
        <w:t>7.《四川省应急管理厅关于印发〈四川省乡镇级片区应急体系专项规划编制要点（试行）〉〈四川省乡镇级片区应急体系专项规划备案程序及审查要点（试行）〉的通知》（川应急〔2022〕3号）</w:t>
      </w:r>
    </w:p>
    <w:p>
      <w:r>
        <w:rPr>
          <w:rFonts w:hint="eastAsia"/>
        </w:rPr>
        <w:t>8.《乐至县国民经济和社会发展第十四个五年规划和二〇三五年远景目标纲要》</w:t>
      </w:r>
    </w:p>
    <w:p>
      <w:r>
        <w:rPr>
          <w:rFonts w:hint="eastAsia"/>
        </w:rPr>
        <w:t>9.《资阳市“十四五”应急体系规划》</w:t>
      </w:r>
    </w:p>
    <w:p>
      <w:pPr>
        <w:rPr>
          <w:highlight w:val="yellow"/>
        </w:rPr>
      </w:pPr>
      <w:r>
        <w:rPr>
          <w:rFonts w:hint="eastAsia"/>
        </w:rPr>
        <w:t>10.《乐至县“十四五”应急体系规划》</w:t>
      </w:r>
    </w:p>
    <w:p>
      <w:pPr>
        <w:ind w:firstLine="0" w:firstLineChars="0"/>
        <w:jc w:val="center"/>
        <w:outlineLvl w:val="1"/>
        <w:rPr>
          <w:rFonts w:ascii="楷体" w:hAnsi="楷体" w:eastAsia="楷体" w:cs="楷体"/>
        </w:rPr>
      </w:pPr>
      <w:bookmarkStart w:id="5" w:name="_Toc18441"/>
      <w:r>
        <w:rPr>
          <w:rFonts w:hint="eastAsia" w:ascii="楷体" w:hAnsi="楷体" w:eastAsia="楷体" w:cs="楷体"/>
        </w:rPr>
        <w:t>（三）规划原则</w:t>
      </w:r>
      <w:bookmarkEnd w:id="5"/>
    </w:p>
    <w:p>
      <w:r>
        <w:rPr>
          <w:rFonts w:hint="eastAsia"/>
        </w:rPr>
        <w:t>立足现状，统筹实施。对片区内既有的安全生产和应急能力进行系统性地梳理，对已有的进行扩能增效，不足的进行健全完善，没有的进行创新和补充，最大程度统筹实施。</w:t>
      </w:r>
    </w:p>
    <w:p>
      <w:r>
        <w:rPr>
          <w:rFonts w:hint="eastAsia"/>
        </w:rPr>
        <w:t>盘活存量，做优增量。立足乡镇撤并、国资闲置、镇村驻地房屋空余以及乡镇学校合并等现状，在国土空间规划的框架内，盘活用好剩余闲置资产。</w:t>
      </w:r>
    </w:p>
    <w:p>
      <w:r>
        <w:rPr>
          <w:rFonts w:hint="eastAsia"/>
        </w:rPr>
        <w:t>群防群治，自救互救。加大宣传培训和科普力度，积极发挥镇、村（社区）领导干部带头作用，把提高社会公众自救互救能力摆在突出位置，构建共商共建共治共享新格局。</w:t>
      </w:r>
    </w:p>
    <w:p>
      <w:pPr>
        <w:ind w:firstLine="0" w:firstLineChars="0"/>
        <w:jc w:val="center"/>
        <w:outlineLvl w:val="1"/>
        <w:rPr>
          <w:rFonts w:ascii="楷体" w:hAnsi="楷体" w:eastAsia="楷体" w:cs="楷体"/>
        </w:rPr>
      </w:pPr>
      <w:bookmarkStart w:id="6" w:name="_Toc21008"/>
      <w:r>
        <w:rPr>
          <w:rFonts w:hint="eastAsia" w:ascii="楷体" w:hAnsi="楷体" w:eastAsia="楷体" w:cs="楷体"/>
        </w:rPr>
        <w:t>（四）规划期限</w:t>
      </w:r>
      <w:bookmarkEnd w:id="6"/>
    </w:p>
    <w:p>
      <w:r>
        <w:rPr>
          <w:rFonts w:hint="eastAsia"/>
        </w:rPr>
        <w:t>本规划与乐至县东山林业蚕桑融合发展片区国土空间规划期限一致，规划年限为2021—2035年，近期为5年，远期至2035年。</w:t>
      </w:r>
    </w:p>
    <w:p>
      <w:pPr>
        <w:rPr>
          <w:rFonts w:ascii="黑体" w:hAnsi="黑体" w:eastAsia="黑体" w:cs="黑体"/>
        </w:rPr>
      </w:pPr>
      <w:bookmarkStart w:id="7" w:name="_Toc10968"/>
      <w:r>
        <w:rPr>
          <w:rFonts w:hint="eastAsia" w:ascii="黑体" w:hAnsi="黑体" w:eastAsia="黑体" w:cs="黑体"/>
        </w:rPr>
        <w:br w:type="page"/>
      </w:r>
    </w:p>
    <w:p>
      <w:pPr>
        <w:ind w:firstLine="0" w:firstLineChars="0"/>
        <w:jc w:val="center"/>
        <w:outlineLvl w:val="0"/>
        <w:rPr>
          <w:rFonts w:ascii="黑体" w:hAnsi="黑体" w:eastAsia="黑体" w:cs="黑体"/>
        </w:rPr>
      </w:pPr>
      <w:r>
        <w:rPr>
          <w:rFonts w:hint="eastAsia" w:ascii="黑体" w:hAnsi="黑体" w:eastAsia="黑体" w:cs="黑体"/>
        </w:rPr>
        <w:t>二、规划背景</w:t>
      </w:r>
      <w:bookmarkEnd w:id="7"/>
    </w:p>
    <w:p>
      <w:pPr>
        <w:jc w:val="center"/>
        <w:outlineLvl w:val="1"/>
        <w:rPr>
          <w:rFonts w:ascii="楷体" w:hAnsi="楷体" w:eastAsia="楷体" w:cs="楷体"/>
        </w:rPr>
      </w:pPr>
      <w:bookmarkStart w:id="8" w:name="_Toc9242"/>
      <w:r>
        <w:rPr>
          <w:rFonts w:hint="eastAsia" w:ascii="楷体" w:hAnsi="楷体" w:eastAsia="楷体" w:cs="楷体"/>
        </w:rPr>
        <w:t>第一节片区现状</w:t>
      </w:r>
      <w:bookmarkEnd w:id="8"/>
    </w:p>
    <w:p>
      <w:pPr>
        <w:outlineLvl w:val="2"/>
      </w:pPr>
      <w:bookmarkStart w:id="9" w:name="_Toc28315"/>
      <w:bookmarkStart w:id="10" w:name="_Toc20799"/>
      <w:bookmarkStart w:id="11" w:name="_Toc99734375"/>
      <w:bookmarkStart w:id="12" w:name="_Toc15819"/>
      <w:r>
        <w:rPr>
          <w:rFonts w:hint="eastAsia"/>
        </w:rPr>
        <w:t>（一）片区</w:t>
      </w:r>
      <w:r>
        <w:t>基本</w:t>
      </w:r>
      <w:r>
        <w:rPr>
          <w:rFonts w:hint="eastAsia"/>
        </w:rPr>
        <w:t>情况</w:t>
      </w:r>
      <w:bookmarkEnd w:id="9"/>
      <w:bookmarkEnd w:id="10"/>
      <w:bookmarkEnd w:id="11"/>
      <w:bookmarkEnd w:id="12"/>
      <w:r>
        <w:rPr>
          <w:rFonts w:hint="eastAsia"/>
        </w:rPr>
        <w:t>。</w:t>
      </w:r>
    </w:p>
    <w:p>
      <w:bookmarkStart w:id="13" w:name="_Toc97037220"/>
      <w:bookmarkStart w:id="14" w:name="_Toc97037311"/>
      <w:bookmarkStart w:id="15" w:name="_Toc2912"/>
      <w:bookmarkStart w:id="16" w:name="_Toc5680"/>
      <w:bookmarkStart w:id="17" w:name="_Toc99734376"/>
      <w:bookmarkStart w:id="18" w:name="_Toc17555"/>
      <w:r>
        <w:rPr>
          <w:rFonts w:hint="eastAsia"/>
        </w:rPr>
        <w:t>东山林业蚕桑融合发展片区处于乐至南部冈陵连绵地区，以丘陵地貌为主，北部紧邻乐至中心城区和石佛镇，西侧与高寺农旅融合发展片区及雁江区相邻，东侧、南侧与安岳县相接。片区内河湖水库众多，森林覆盖率高，耕地质量好，坐拥国家农村产业融合发展示范园、国家林业科技示范园、现代蚕桑产业园3大产业园区平台。片区包含东山镇16个村（社区）、石湍镇15个村（社区）、通旅镇10个村（社区）、双河场乡8个村（社区）和回澜镇21个村（社区），共计5个乡镇，70个村（社区），2020年常住人口8.1万余人，幅员面积370.98平方公里。该片区以东山镇为中心镇、石湍镇为副中心镇，辐射带动回澜镇、通旅镇、双河场乡协调发展。</w:t>
      </w:r>
    </w:p>
    <w:p>
      <w:r>
        <w:rPr>
          <w:rFonts w:hint="eastAsia"/>
        </w:rPr>
        <w:t>片区依托3大平台，立足现代农业，着力打造“中国桑都”、中国林业科技“硅谷”和中国西部珍稀花卉苗木集散中心。同时，依托规划布局的石湍镇通航产业功能区，重点发展空中游览、低空旅游、通航租赁、航空物流园、农用服务等业态。着力构建以农为本、林桑融合、农旅结合的产业结构体系，致力打造融合特色鲜明、产业集聚发展、利益联接紧密、彰显乡村特色的现代农业产业新样板。</w:t>
      </w:r>
    </w:p>
    <w:p>
      <w:pPr>
        <w:outlineLvl w:val="2"/>
        <w:rPr>
          <w:b/>
          <w:bCs/>
        </w:rPr>
      </w:pPr>
      <w:r>
        <w:rPr>
          <w:rFonts w:hint="eastAsia"/>
        </w:rPr>
        <w:t>（二）安全生产</w:t>
      </w:r>
      <w:bookmarkEnd w:id="13"/>
      <w:bookmarkEnd w:id="14"/>
      <w:r>
        <w:rPr>
          <w:rFonts w:hint="eastAsia"/>
        </w:rPr>
        <w:t>状况</w:t>
      </w:r>
      <w:bookmarkEnd w:id="15"/>
      <w:bookmarkEnd w:id="16"/>
      <w:bookmarkEnd w:id="17"/>
      <w:bookmarkEnd w:id="18"/>
      <w:r>
        <w:rPr>
          <w:rFonts w:hint="eastAsia"/>
        </w:rPr>
        <w:t>。</w:t>
      </w:r>
    </w:p>
    <w:p>
      <w:r>
        <w:rPr>
          <w:rFonts w:hint="eastAsia"/>
        </w:rPr>
        <w:t>该片区有1个全国重点文保单位，9个县级文保单位产业；园区3个；长途客运站2个，位于回澜镇和通旅镇；规模以上企业6家，集中分布在东山镇和石湍镇，其中食品生产企业3家、其他产业3家；非煤矿山企业6家，分布在东山镇2家、石湍镇2家、回澜镇1家、双河场乡1家，标准化等级均为3级；危化品企业7家，其中加油站6家，天然气经营公司（不带储存）1家；建材厂4家；建筑业企业4家，均具总承包和专业承包资质等级。片区无较大及以上安全生产事故发生。</w:t>
      </w:r>
      <w:bookmarkStart w:id="19" w:name="_Toc99734377"/>
      <w:bookmarkStart w:id="20" w:name="_Toc20341"/>
      <w:bookmarkStart w:id="21" w:name="_Toc11232"/>
      <w:bookmarkStart w:id="22" w:name="_Toc28146"/>
    </w:p>
    <w:p>
      <w:pPr>
        <w:pStyle w:val="4"/>
      </w:pPr>
      <w:r>
        <w:rPr>
          <w:rFonts w:hint="eastAsia"/>
        </w:rPr>
        <w:t>道路交通方面。交通区位优势明显，对外交通条件良好，但交通方式单一。片区位于成渝直线通道上，地处雁江、安岳、乐至三个区县的交接处，北靠乐至县城，东面和南面紧邻安岳县，向西可至雁江区。G5013渝蓉高速和S3成资渝高速穿境而过，在石湍和通旅两镇内设有出入口。G319途径东山和回澜镇；S401经过石湍镇。除双河场乡之外，其余各镇均有省级及以上道路相连。</w:t>
      </w:r>
    </w:p>
    <w:p>
      <w:pPr>
        <w:outlineLvl w:val="2"/>
      </w:pPr>
      <w:r>
        <w:rPr>
          <w:rFonts w:hint="eastAsia"/>
        </w:rPr>
        <w:t>（三）自然灾害状况</w:t>
      </w:r>
      <w:bookmarkEnd w:id="19"/>
      <w:bookmarkEnd w:id="20"/>
      <w:bookmarkEnd w:id="21"/>
      <w:bookmarkEnd w:id="22"/>
      <w:r>
        <w:rPr>
          <w:rFonts w:hint="eastAsia"/>
        </w:rPr>
        <w:t>。</w:t>
      </w:r>
      <w:bookmarkStart w:id="23" w:name="_Toc32703"/>
      <w:bookmarkStart w:id="24" w:name="_Toc11082"/>
      <w:bookmarkStart w:id="25" w:name="_Toc3662"/>
      <w:bookmarkStart w:id="26" w:name="_Toc99734378"/>
    </w:p>
    <w:p>
      <w:r>
        <w:rPr>
          <w:rFonts w:hint="eastAsia"/>
        </w:rPr>
        <w:t>片区处于乐至南部冈陵连绵地区，片区海拔260-536m，涪沱分水岭从北至南将片区划分成东部浅丘和西部中丘两个台地地貌，中部马鞍山为片区最高点，回澜镇最低，灾害的主要种类有洪涝灾害、旱灾、地灾、森林火灾，因受气候影响，年度自然灾害发生种类和受灾程度不同。</w:t>
      </w:r>
    </w:p>
    <w:p>
      <w:r>
        <w:rPr>
          <w:rFonts w:hint="eastAsia"/>
        </w:rPr>
        <w:t>洪涝灾害情况。片区有山洪灾害危险区13处，其中回澜镇5处，石湍镇4处，东山镇3处，双河场乡1处，受威胁人口共计6167人。2021年，片区洪涝灾害受灾人口为9126人，造成直接经济损失437.09万元。</w:t>
      </w:r>
    </w:p>
    <w:p>
      <w:r>
        <w:rPr>
          <w:rFonts w:hint="eastAsia"/>
        </w:rPr>
        <w:t>旱灾情况。片区气候温和、四季分明、雨量充沛、冬暖干燥、年均降水量900毫米，但分布不均，夏季雨量占全年降雨量的半数，易冬干、春旱。2018年冬季片区部分乡镇达到冬季“连续30天或以上总雨量小于4mm”的冬干气候标准，对小春作物尤其是旱地作物产生了严重影响和危害。</w:t>
      </w:r>
    </w:p>
    <w:p>
      <w:r>
        <w:rPr>
          <w:rFonts w:hint="eastAsia"/>
        </w:rPr>
        <w:t>地质灾害情况。片区中部马鞍山深丘地区海拔高于450米，北部龙口山中丘地区海拔在400米-500米之间，南部浅丘地区海拔低于400米。涪江、沿沱分水岭将片区划分为东部低丘和西部中丘，东部浅丘地貌区主要包括回澜镇和部分东山镇，西部中丘地貌区主要包括石湍镇、通旅镇、双河场乡和部分东山镇。近年来未出现地质灾害人员伤亡情况。</w:t>
      </w:r>
    </w:p>
    <w:p>
      <w:pPr>
        <w:pStyle w:val="4"/>
      </w:pPr>
      <w:r>
        <w:rPr>
          <w:rFonts w:hint="eastAsia"/>
        </w:rPr>
        <w:t>森林火灾情况。片区内林木茂盛，林地面积106.3平方公里，约占片区面积的29%，有国家级公益林37.2平方公里，约占片区面积的10%，凤凰山集中分布有3000余株参天林立的古柏树。近三年来未发生森林火灾。</w:t>
      </w:r>
    </w:p>
    <w:bookmarkEnd w:id="23"/>
    <w:bookmarkEnd w:id="24"/>
    <w:bookmarkEnd w:id="25"/>
    <w:p>
      <w:pPr>
        <w:outlineLvl w:val="2"/>
      </w:pPr>
      <w:r>
        <w:rPr>
          <w:rFonts w:hint="eastAsia"/>
        </w:rPr>
        <w:t>（四）应急能力状况</w:t>
      </w:r>
      <w:bookmarkEnd w:id="26"/>
      <w:r>
        <w:rPr>
          <w:rFonts w:hint="eastAsia"/>
        </w:rPr>
        <w:t>。</w:t>
      </w:r>
    </w:p>
    <w:p>
      <w:r>
        <w:rPr>
          <w:rFonts w:hint="eastAsia"/>
        </w:rPr>
        <w:t>应急指挥情况。片区内乡镇根据应急管理工作需要，建立了以党政主要领导任指挥长，分管领导任常务副指挥长，其他领导任副指挥长，以村（社区）主要领导等为成员的乡镇应急指挥部（应急指挥领导小组）。</w:t>
      </w:r>
    </w:p>
    <w:p>
      <w:r>
        <w:rPr>
          <w:rFonts w:hint="eastAsia"/>
        </w:rPr>
        <w:t>预案管理情况。各镇编制综合应急预案5个，专项应急预案25个，村（社区）应急预案61个。以清单制管理提档升级为抓手，针对安全生产和洪涝、森林火灾、地灾等重点防治工作，开展应急演练，提升应急系统指挥能力实操。</w:t>
      </w:r>
    </w:p>
    <w:p>
      <w:r>
        <w:rPr>
          <w:rFonts w:hint="eastAsia"/>
        </w:rPr>
        <w:t>救援队伍情况。片区有镇政府专职消防队2个，微型消防站10个。30人以上的乡镇应急救援队和10人以上的村（社区）应急救援分队为辅助的“一主两辅”基层应急力量体系已建成。片区内有灾害信息员86名，基本构成信息传递网络。</w:t>
      </w:r>
    </w:p>
    <w:p>
      <w:r>
        <w:rPr>
          <w:rFonts w:hint="eastAsia"/>
        </w:rPr>
        <w:t>应急避难场所建设情况。片区在广场、学校等公共场所设置规范化应急避难场所6处，共16700m</w:t>
      </w:r>
      <w:r>
        <w:rPr>
          <w:rFonts w:hint="eastAsia"/>
          <w:vertAlign w:val="superscript"/>
        </w:rPr>
        <w:t>2</w:t>
      </w:r>
      <w:r>
        <w:rPr>
          <w:rFonts w:hint="eastAsia"/>
        </w:rPr>
        <w:t>，村社临时应急避难点104处，可容纳32000余人。</w:t>
      </w:r>
    </w:p>
    <w:p>
      <w:r>
        <w:rPr>
          <w:rFonts w:hint="eastAsia"/>
        </w:rPr>
        <w:t>物资储备情况。片区共有5个镇级应急物资储备库，储备有抢险救援装备和救灾物资1800余件。主要储备物资种类为：帐篷、棉衣、棉被、雨衣、折叠床、麻袋、毛毯、睡袋、抽水泵等。</w:t>
      </w:r>
    </w:p>
    <w:p>
      <w:pPr>
        <w:jc w:val="center"/>
        <w:outlineLvl w:val="1"/>
        <w:rPr>
          <w:rFonts w:ascii="楷体" w:hAnsi="楷体" w:eastAsia="楷体" w:cs="楷体"/>
        </w:rPr>
      </w:pPr>
      <w:bookmarkStart w:id="27" w:name="_Toc13556"/>
      <w:r>
        <w:rPr>
          <w:rFonts w:hint="eastAsia" w:ascii="楷体" w:hAnsi="楷体" w:eastAsia="楷体" w:cs="楷体"/>
        </w:rPr>
        <w:t>第二节面临形势</w:t>
      </w:r>
      <w:bookmarkEnd w:id="27"/>
    </w:p>
    <w:p>
      <w:pPr>
        <w:pStyle w:val="4"/>
        <w:ind w:firstLine="643"/>
      </w:pPr>
      <w:r>
        <w:rPr>
          <w:rFonts w:hint="eastAsia"/>
          <w:b/>
          <w:bCs/>
        </w:rPr>
        <w:t>安全生产方面。</w:t>
      </w:r>
      <w:r>
        <w:rPr>
          <w:rFonts w:hint="eastAsia"/>
        </w:rPr>
        <w:t>烟花爆竹储存仓库存在燃爆风险；非煤矿山存在机械施工、滑坡、防火等隐患；食品加工企业存在有限空间作业风险；、商砼企业存在机械伤害、物体打击、火灾等。片区内部分企业未严格落实企业主体责任，未全面建立安全生产责任清单制管理，规章制度建立不完善，风险辨识不全面，隐患排查治理不到位，安全培训教育质量不高，一线员工存在安全意识淡漠，未按照安全操作规程执行等情况。</w:t>
      </w:r>
    </w:p>
    <w:p>
      <w:pPr>
        <w:pStyle w:val="4"/>
        <w:ind w:firstLine="643"/>
      </w:pPr>
      <w:r>
        <w:rPr>
          <w:rFonts w:hint="eastAsia"/>
          <w:b/>
          <w:bCs/>
        </w:rPr>
        <w:t>道路交通方面。</w:t>
      </w:r>
      <w:r>
        <w:rPr>
          <w:rFonts w:hint="eastAsia"/>
        </w:rPr>
        <w:t>一是过境交通与内部交通混杂。片区内G319穿过线东山镇镇区，S401穿过石湍镇镇区，成为了场镇内部的主要道路，交通压力大，过境交通与镇区内部交通相互混杂，且政府、医院、学校等出入人流量较大的单位位于国省道沿线，造成大量人流来回穿越国道，存在安全隐患。二是高等级公路比例低，村与村之间联系不畅。根据《乐至县2020省反数据库》文件，区内仅G319和一段县道为三级公路，其余均为等外级公路，高等级公路占比低。片区内村道多呈树枝状发散，断头路多，村与村之间的联系较弱，村道宽度窄，错车困难。三是长途客运站利用率低，停车设施缺乏。回澜镇、通旅镇均有长途客运站，但长途客车均未进站，沿街停放，阻碍交通，影响出行安全。除各镇区均缺乏独立占地的停车场，停车需求都依靠路内的停车位解决，侵占了道路空间。</w:t>
      </w:r>
    </w:p>
    <w:p>
      <w:pPr>
        <w:widowControl/>
        <w:ind w:firstLine="643"/>
      </w:pPr>
      <w:r>
        <w:rPr>
          <w:rFonts w:hint="eastAsia"/>
          <w:b/>
          <w:bCs/>
        </w:rPr>
        <w:t>自然灾害方面。洪涝灾害：</w:t>
      </w:r>
      <w:r>
        <w:rPr>
          <w:rFonts w:hint="eastAsia"/>
        </w:rPr>
        <w:t>一是发生频率较高。洪涝灾害为片区最常见的自然灾害，年年都有，主要集中在片区东部浅丘地区。片区内降雨量在季节上分配不均，其中夏季降雨量最多，占全年降雨量的50%以上，多大雨和雷暴雨，极易发生洪涝灾害。二是山洪灾害预警员专业水平低，报警器等装备不足，山洪灾害防范能力差，山洪灾害危险区未得到彻底整治。三是片区内水库多为均质坝，部分水库未进行除险加固。</w:t>
      </w:r>
      <w:r>
        <w:rPr>
          <w:rFonts w:hint="eastAsia"/>
          <w:b/>
          <w:bCs/>
        </w:rPr>
        <w:t>地质灾害：</w:t>
      </w:r>
      <w:r>
        <w:rPr>
          <w:rFonts w:hint="eastAsia"/>
        </w:rPr>
        <w:t>片区有地质灾害隐患点8处，集中分布在石湍镇、通旅镇和双河场乡，其中滑坡2处、崩塌（危岩）6处，威胁群众28户82人。</w:t>
      </w:r>
      <w:r>
        <w:rPr>
          <w:rFonts w:hint="eastAsia"/>
          <w:b/>
          <w:bCs/>
        </w:rPr>
        <w:t>森林火灾：</w:t>
      </w:r>
      <w:r>
        <w:rPr>
          <w:rFonts w:hint="eastAsia"/>
        </w:rPr>
        <w:t>片区有15个村（社区）存在重点森林防火区域共计23处，分布在东山镇10处、回澜镇7处、石湍镇5处和双河场乡1处。部分重点森林防火区域无取水点，扑火物资短缺，监测预警能力薄弱。</w:t>
      </w:r>
    </w:p>
    <w:p>
      <w:pPr>
        <w:ind w:firstLine="643"/>
      </w:pPr>
      <w:r>
        <w:rPr>
          <w:rFonts w:hint="eastAsia"/>
          <w:b/>
          <w:bCs/>
        </w:rPr>
        <w:t>应急能力方面。</w:t>
      </w:r>
      <w:r>
        <w:rPr>
          <w:rFonts w:hint="eastAsia"/>
        </w:rPr>
        <w:t>一是各乡镇应急</w:t>
      </w:r>
      <w:r>
        <w:rPr>
          <w:rFonts w:hint="eastAsia"/>
          <w:b/>
          <w:bCs/>
        </w:rPr>
        <w:t>救援机制</w:t>
      </w:r>
      <w:r>
        <w:rPr>
          <w:rFonts w:hint="eastAsia"/>
        </w:rPr>
        <w:t>不完善，统筹协调性不强，应急指挥信息化水平不高，未建立与应急指挥能力相适应的现代化应急指挥体系。二是片区未建设专业的应急</w:t>
      </w:r>
      <w:r>
        <w:rPr>
          <w:rFonts w:hint="eastAsia"/>
          <w:b/>
          <w:bCs/>
        </w:rPr>
        <w:t>救援基地</w:t>
      </w:r>
      <w:r>
        <w:rPr>
          <w:rFonts w:hint="eastAsia"/>
        </w:rPr>
        <w:t>，依托各乡镇政府、村（社区）住地作为应急救援临时场地。三是</w:t>
      </w:r>
      <w:r>
        <w:rPr>
          <w:rFonts w:hint="eastAsia"/>
          <w:b/>
          <w:bCs/>
        </w:rPr>
        <w:t>救援队伍</w:t>
      </w:r>
      <w:r>
        <w:rPr>
          <w:rFonts w:hint="eastAsia"/>
        </w:rPr>
        <w:t>专职率低，救援人员、灾害信息员缺乏系统的培训演练。四是专业</w:t>
      </w:r>
      <w:r>
        <w:rPr>
          <w:rFonts w:hint="eastAsia"/>
          <w:b/>
          <w:bCs/>
        </w:rPr>
        <w:t>救援装备</w:t>
      </w:r>
      <w:r>
        <w:rPr>
          <w:rFonts w:hint="eastAsia"/>
        </w:rPr>
        <w:t>仍有较大缺口，需建设片区应急指挥分中心并配备应急指挥装备，各乡镇灭火类装备、抢险救援类装备、个人防护类装备与抢险救援的实战要求还有一定差距。五是片区内村（社区）</w:t>
      </w:r>
      <w:r>
        <w:rPr>
          <w:rFonts w:hint="eastAsia"/>
          <w:b/>
          <w:bCs/>
        </w:rPr>
        <w:t>应急预案</w:t>
      </w:r>
      <w:r>
        <w:rPr>
          <w:rFonts w:hint="eastAsia"/>
        </w:rPr>
        <w:t>不齐全，缺乏针对性、可操作性，存在“上行下效”的问题。六是</w:t>
      </w:r>
      <w:r>
        <w:rPr>
          <w:rFonts w:hint="eastAsia"/>
          <w:b/>
          <w:bCs/>
        </w:rPr>
        <w:t>协调联动</w:t>
      </w:r>
      <w:r>
        <w:rPr>
          <w:rFonts w:hint="eastAsia"/>
        </w:rPr>
        <w:t>机制尚未健全，片区应急队伍与社会救援队伍、应急部门和消防部门联动不强，存在各自为战的情况。</w:t>
      </w:r>
    </w:p>
    <w:p>
      <w:pPr>
        <w:ind w:firstLine="643"/>
      </w:pPr>
      <w:r>
        <w:rPr>
          <w:rFonts w:hint="eastAsia"/>
          <w:b/>
          <w:bCs/>
        </w:rPr>
        <w:t>防灾减灾能力。应急避难场所</w:t>
      </w:r>
      <w:r>
        <w:rPr>
          <w:rFonts w:hint="eastAsia"/>
        </w:rPr>
        <w:t>的规范化程度不高。片区内规范化应急避难场所共6处，但设施差、设备缺、标准低，使用和管理水平不高；</w:t>
      </w:r>
      <w:r>
        <w:rPr>
          <w:rFonts w:hint="eastAsia"/>
          <w:b/>
          <w:bCs/>
        </w:rPr>
        <w:t>应急物资</w:t>
      </w:r>
      <w:r>
        <w:rPr>
          <w:rFonts w:hint="eastAsia"/>
        </w:rPr>
        <w:t>品种不齐、数量有限、储备库规范化程度不高，仅能满足受灾群众临时生活需求。</w:t>
      </w:r>
    </w:p>
    <w:p>
      <w:pPr>
        <w:ind w:firstLine="643"/>
      </w:pPr>
      <w:r>
        <w:rPr>
          <w:rFonts w:hint="eastAsia"/>
          <w:b/>
          <w:bCs/>
        </w:rPr>
        <w:t>社会共治共享。</w:t>
      </w:r>
      <w:r>
        <w:rPr>
          <w:rFonts w:hint="eastAsia"/>
        </w:rPr>
        <w:t>片区老龄化水平超30%，已达到深度老龄化，安全和应急知识科普宣传教育针对性、有效性不强。家庭成员自行配置灾害防治和自救装备的意识不够，群众防灾意识、安全意识不强，自救互救能力较低。</w:t>
      </w:r>
    </w:p>
    <w:p>
      <w:pPr>
        <w:rPr>
          <w:rFonts w:ascii="黑体" w:hAnsi="黑体" w:eastAsia="黑体" w:cs="黑体"/>
        </w:rPr>
      </w:pPr>
      <w:bookmarkStart w:id="28" w:name="_Toc13880"/>
      <w:r>
        <w:rPr>
          <w:rFonts w:hint="eastAsia" w:ascii="黑体" w:hAnsi="黑体" w:eastAsia="黑体" w:cs="黑体"/>
        </w:rPr>
        <w:br w:type="page"/>
      </w:r>
    </w:p>
    <w:p>
      <w:pPr>
        <w:ind w:firstLine="0" w:firstLineChars="0"/>
        <w:jc w:val="center"/>
        <w:outlineLvl w:val="0"/>
        <w:rPr>
          <w:rFonts w:ascii="黑体" w:hAnsi="黑体" w:eastAsia="黑体" w:cs="黑体"/>
        </w:rPr>
      </w:pPr>
      <w:r>
        <w:rPr>
          <w:rFonts w:hint="eastAsia" w:ascii="黑体" w:hAnsi="黑体" w:eastAsia="黑体" w:cs="黑体"/>
        </w:rPr>
        <w:t>三、规划目标</w:t>
      </w:r>
      <w:bookmarkEnd w:id="28"/>
    </w:p>
    <w:p>
      <w:pPr>
        <w:ind w:firstLine="0" w:firstLineChars="0"/>
        <w:jc w:val="center"/>
        <w:outlineLvl w:val="1"/>
        <w:rPr>
          <w:rFonts w:ascii="楷体" w:hAnsi="楷体" w:eastAsia="楷体" w:cs="楷体"/>
        </w:rPr>
      </w:pPr>
      <w:bookmarkStart w:id="29" w:name="_Toc23007"/>
      <w:r>
        <w:rPr>
          <w:rFonts w:hint="eastAsia" w:ascii="楷体" w:hAnsi="楷体" w:eastAsia="楷体" w:cs="楷体"/>
        </w:rPr>
        <w:t>（一）近期目标</w:t>
      </w:r>
      <w:bookmarkEnd w:id="29"/>
    </w:p>
    <w:p>
      <w:r>
        <w:rPr>
          <w:rFonts w:hint="eastAsia"/>
        </w:rPr>
        <w:t>到2025年,片区应急管理体系和能力现代化建设取得明显成效,机制体制更加完善,风险防控、基层基础、应急救援、综合保障、社会协同能力显著提升,安全生产整体水平、防灾减灾救灾能力显著增强,生产安全事故得到有效遏制,及时妥善应对处置各类灾害事故,人民生命财产安全得到有力保障。</w:t>
      </w:r>
    </w:p>
    <w:p>
      <w:pPr>
        <w:ind w:firstLine="643"/>
      </w:pPr>
      <w:r>
        <w:rPr>
          <w:rFonts w:hint="eastAsia"/>
          <w:b/>
          <w:bCs/>
        </w:rPr>
        <w:t>安全生产目标。</w:t>
      </w:r>
      <w:r>
        <w:rPr>
          <w:rFonts w:hint="eastAsia"/>
        </w:rPr>
        <w:t>片区安全生产责任体系进一步完善，片区生产安全事故死亡人数下降，专职安全管理人员得到充实，安全生产宣传教育“七进”活动完成率提升。</w:t>
      </w:r>
    </w:p>
    <w:p>
      <w:pPr>
        <w:ind w:firstLine="643"/>
      </w:pPr>
      <w:r>
        <w:rPr>
          <w:rFonts w:hint="eastAsia"/>
          <w:b/>
          <w:bCs/>
        </w:rPr>
        <w:t>防灾减灾目标。</w:t>
      </w:r>
      <w:r>
        <w:rPr>
          <w:rFonts w:hint="eastAsia"/>
        </w:rPr>
        <w:t>因地制宜扩建、改建应急避难场所，为受灾群众提供就近就便的安置服务。加强科普宣传教育基地建设，推进防灾减灾知识和技能进企业、进农村、进社区、进学校、进家庭、进机关、进公共场合。开展综合减灾示范村（社区）建设，增强灾害风险防范意识，提升公众应急避险和自救互救技能。</w:t>
      </w:r>
    </w:p>
    <w:p>
      <w:pPr>
        <w:ind w:firstLine="643"/>
      </w:pPr>
      <w:r>
        <w:rPr>
          <w:rFonts w:hint="eastAsia"/>
          <w:b/>
          <w:bCs/>
        </w:rPr>
        <w:t>应急能力目标。</w:t>
      </w:r>
      <w:r>
        <w:rPr>
          <w:rFonts w:hint="eastAsia"/>
        </w:rPr>
        <w:t>加强应急预案管理、完善应急预案，强化应急演练，扎实做好应急物资储备，强化应急知识培训，加强应急专业救援队伍建设，提升应急处置能力。</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3847"/>
        <w:gridCol w:w="2749"/>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05" w:type="pct"/>
            <w:shd w:val="clear" w:color="auto" w:fill="auto"/>
            <w:vAlign w:val="center"/>
          </w:tcPr>
          <w:p>
            <w:pPr>
              <w:widowControl/>
              <w:spacing w:line="300" w:lineRule="exact"/>
              <w:ind w:firstLine="0" w:firstLineChars="0"/>
              <w:jc w:val="center"/>
              <w:textAlignment w:val="center"/>
              <w:rPr>
                <w:rFonts w:ascii="仿宋" w:hAnsi="仿宋" w:cs="仿宋"/>
                <w:b/>
                <w:bCs/>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b/>
                <w:bCs/>
                <w:color w:val="000000"/>
                <w:sz w:val="28"/>
                <w:szCs w:val="28"/>
              </w:rPr>
            </w:pPr>
            <w:r>
              <w:rPr>
                <w:rFonts w:hint="eastAsia" w:ascii="仿宋" w:hAnsi="仿宋" w:cs="仿宋"/>
                <w:b/>
                <w:bCs/>
                <w:color w:val="000000"/>
                <w:kern w:val="0"/>
                <w:sz w:val="28"/>
                <w:szCs w:val="28"/>
                <w:lang w:bidi="ar"/>
              </w:rPr>
              <w:t>指标名称</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b/>
                <w:bCs/>
                <w:color w:val="000000"/>
                <w:sz w:val="28"/>
                <w:szCs w:val="28"/>
              </w:rPr>
            </w:pPr>
            <w:r>
              <w:rPr>
                <w:rFonts w:hint="eastAsia" w:ascii="仿宋" w:hAnsi="仿宋" w:cs="仿宋"/>
                <w:b/>
                <w:bCs/>
                <w:color w:val="000000"/>
                <w:kern w:val="0"/>
                <w:sz w:val="28"/>
                <w:szCs w:val="28"/>
                <w:lang w:bidi="ar"/>
              </w:rPr>
              <w:t>2025年片区级指标值</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b/>
                <w:bCs/>
                <w:color w:val="000000"/>
                <w:sz w:val="28"/>
                <w:szCs w:val="28"/>
              </w:rPr>
            </w:pPr>
            <w:r>
              <w:rPr>
                <w:rFonts w:hint="eastAsia" w:ascii="仿宋" w:hAnsi="仿宋" w:cs="仿宋"/>
                <w:b/>
                <w:bCs/>
                <w:color w:val="000000"/>
                <w:kern w:val="0"/>
                <w:sz w:val="28"/>
                <w:szCs w:val="28"/>
                <w:lang w:bidi="ar"/>
              </w:rPr>
              <w:t>属性（约束性/预期性）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05" w:type="pct"/>
            <w:vMerge w:val="restar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安全生产</w:t>
            </w: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生产安全事故死亡人数</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Style w:val="14"/>
                <w:rFonts w:ascii="仿宋" w:hAnsi="仿宋" w:eastAsia="仿宋" w:cs="仿宋"/>
                <w:sz w:val="28"/>
                <w:szCs w:val="28"/>
                <w:lang w:bidi="ar"/>
              </w:rPr>
              <w:t>相比“十三五”期间总数同口径下降</w:t>
            </w:r>
            <w:r>
              <w:rPr>
                <w:rStyle w:val="15"/>
                <w:rFonts w:hint="eastAsia" w:ascii="仿宋" w:hAnsi="仿宋" w:cs="仿宋"/>
                <w:sz w:val="28"/>
                <w:szCs w:val="28"/>
                <w:lang w:bidi="ar"/>
              </w:rPr>
              <w:t>10%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亿元地区生产总值安全事故死亡率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sz w:val="28"/>
                <w:szCs w:val="28"/>
              </w:rPr>
              <w:t>≤0.01</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工矿商贸就业人员万人生产安全事故死亡率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Style w:val="14"/>
                <w:rFonts w:ascii="仿宋" w:hAnsi="仿宋" w:eastAsia="仿宋" w:cs="仿宋"/>
                <w:sz w:val="28"/>
                <w:szCs w:val="28"/>
                <w:lang w:bidi="ar"/>
              </w:rPr>
              <w:t>相比“十三五”期间死亡率同口径下降</w:t>
            </w:r>
            <w:r>
              <w:rPr>
                <w:rStyle w:val="15"/>
                <w:rFonts w:hint="eastAsia" w:ascii="仿宋" w:hAnsi="仿宋" w:cs="仿宋"/>
                <w:sz w:val="28"/>
                <w:szCs w:val="28"/>
                <w:lang w:bidi="ar"/>
              </w:rPr>
              <w:t>10%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5" w:type="pct"/>
            <w:vMerge w:val="restar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防灾减灾</w:t>
            </w: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年均因自然灾害直接经济损失占地区生产总值的比例</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≤1%</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应急避难场所人均面积</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≥1平方米</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年均万人自然灾害死亡率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≤2</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地质灾害年均受害率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≤0.5‰</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5" w:type="pct"/>
            <w:vMerge w:val="restar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应急能力</w:t>
            </w: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镇（街道）10分钟快速响应救援圈建成率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≥90%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应急预案编制率、演练率、覆盖率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100%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专职消防人员占片区总人口比例</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≥3‰</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安全生产宣传教育“七进”活动完成率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＞80%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隐患按期整改率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100%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05" w:type="pct"/>
            <w:vMerge w:val="continue"/>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p>
        </w:tc>
        <w:tc>
          <w:tcPr>
            <w:tcW w:w="212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在校学生应急（安全）知识普及率</w:t>
            </w:r>
          </w:p>
        </w:tc>
        <w:tc>
          <w:tcPr>
            <w:tcW w:w="1517"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100%</w:t>
            </w:r>
          </w:p>
        </w:tc>
        <w:tc>
          <w:tcPr>
            <w:tcW w:w="553" w:type="pct"/>
            <w:shd w:val="clear" w:color="auto" w:fill="auto"/>
            <w:vAlign w:val="center"/>
          </w:tcPr>
          <w:p>
            <w:pPr>
              <w:widowControl/>
              <w:spacing w:line="300" w:lineRule="exact"/>
              <w:ind w:firstLine="0" w:firstLineChars="0"/>
              <w:jc w:val="center"/>
              <w:textAlignment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预期性</w:t>
            </w:r>
          </w:p>
        </w:tc>
      </w:tr>
    </w:tbl>
    <w:p>
      <w:pPr>
        <w:ind w:firstLine="0" w:firstLineChars="0"/>
        <w:jc w:val="center"/>
        <w:outlineLvl w:val="1"/>
        <w:rPr>
          <w:rFonts w:ascii="楷体" w:hAnsi="楷体" w:eastAsia="楷体" w:cs="楷体"/>
        </w:rPr>
      </w:pPr>
      <w:bookmarkStart w:id="30" w:name="_Toc28606"/>
      <w:r>
        <w:rPr>
          <w:rFonts w:hint="eastAsia" w:ascii="楷体" w:hAnsi="楷体" w:eastAsia="楷体" w:cs="楷体"/>
        </w:rPr>
        <w:t>（二）远景目标</w:t>
      </w:r>
      <w:bookmarkEnd w:id="30"/>
    </w:p>
    <w:p>
      <w:r>
        <w:rPr>
          <w:rFonts w:hint="eastAsia"/>
        </w:rPr>
        <w:t>到2035年,建立与基本实现社会主义现代化四川相适应的应急管理体系,保持安全生产状况持续稳定好转,自然灾害防御和巨灾应对能力达到国内先进水平,依法应急、科学应急、智慧应急水平达到新高度,共建共治共享的应急管理新格局全面形成,人民群众的获得感、幸福感、安全感显著增强。</w:t>
      </w:r>
    </w:p>
    <w:p>
      <w:pPr>
        <w:rPr>
          <w:rFonts w:ascii="黑体" w:hAnsi="黑体" w:eastAsia="黑体" w:cs="黑体"/>
        </w:rPr>
      </w:pPr>
      <w:bookmarkStart w:id="31" w:name="_Toc1558"/>
      <w:r>
        <w:rPr>
          <w:rFonts w:hint="eastAsia" w:ascii="黑体" w:hAnsi="黑体" w:eastAsia="黑体" w:cs="黑体"/>
        </w:rPr>
        <w:br w:type="page"/>
      </w:r>
    </w:p>
    <w:p>
      <w:pPr>
        <w:ind w:firstLine="0" w:firstLineChars="0"/>
        <w:jc w:val="center"/>
        <w:outlineLvl w:val="0"/>
        <w:rPr>
          <w:rFonts w:ascii="黑体" w:hAnsi="黑体" w:eastAsia="黑体" w:cs="黑体"/>
        </w:rPr>
      </w:pPr>
      <w:r>
        <w:rPr>
          <w:rFonts w:hint="eastAsia" w:ascii="黑体" w:hAnsi="黑体" w:eastAsia="黑体" w:cs="黑体"/>
        </w:rPr>
        <w:t>四、主要任务和重点工程</w:t>
      </w:r>
      <w:bookmarkEnd w:id="31"/>
    </w:p>
    <w:p>
      <w:pPr>
        <w:ind w:firstLine="0" w:firstLineChars="0"/>
        <w:jc w:val="center"/>
        <w:outlineLvl w:val="1"/>
        <w:rPr>
          <w:rFonts w:ascii="楷体" w:hAnsi="楷体" w:eastAsia="楷体" w:cs="楷体"/>
        </w:rPr>
      </w:pPr>
      <w:bookmarkStart w:id="32" w:name="_Toc27616"/>
      <w:r>
        <w:rPr>
          <w:rFonts w:hint="eastAsia" w:ascii="楷体" w:hAnsi="楷体" w:eastAsia="楷体" w:cs="楷体"/>
        </w:rPr>
        <w:t>（一）应急管理机制方面</w:t>
      </w:r>
      <w:bookmarkEnd w:id="32"/>
    </w:p>
    <w:p>
      <w:pPr>
        <w:ind w:firstLine="643"/>
        <w:rPr>
          <w:b/>
          <w:bCs/>
        </w:rPr>
      </w:pPr>
      <w:r>
        <w:rPr>
          <w:rFonts w:hint="eastAsia"/>
          <w:b/>
          <w:bCs/>
        </w:rPr>
        <w:t>健全组织领导。</w:t>
      </w:r>
      <w:r>
        <w:rPr>
          <w:rFonts w:hint="eastAsia"/>
        </w:rPr>
        <w:t>建立以乡镇党政主要领导为组长的应急指挥分中心，整合安全生产、应急管理、防汛抗旱、地质灾害、森林火灾防治等资源和力量，落实各乡镇专职应急管理人员不少于3名，解决一人多岗、责任难以落实等问题，在乐至县应急管理局业务指导下，负责片区内应急管理工作。各村（社区）统筹整合现有的灾害信息员、登记注册志愿者、民兵预备役人员等资源，实现资源共享、统一登记造册，一体化推进综合性应急管理队伍建设。</w:t>
      </w:r>
    </w:p>
    <w:p>
      <w:pPr>
        <w:ind w:firstLine="643"/>
      </w:pPr>
      <w:r>
        <w:rPr>
          <w:rFonts w:hint="eastAsia"/>
          <w:b/>
          <w:bCs/>
        </w:rPr>
        <w:t>加强应急管理制度建设。</w:t>
      </w:r>
      <w:r>
        <w:rPr>
          <w:rFonts w:hint="eastAsia"/>
        </w:rPr>
        <w:t>着眼新时代应急管理新要求，建立值班、信息、演练、队伍、物资等相关制度，夯实应急管理基础，推动应急管理规范化、系统化、精细化。制定防灾物资储备管理机制，将应急物资储备前置各乡镇。</w:t>
      </w:r>
    </w:p>
    <w:p>
      <w:pPr>
        <w:ind w:firstLine="643"/>
      </w:pPr>
      <w:r>
        <w:rPr>
          <w:rFonts w:hint="eastAsia"/>
          <w:b/>
          <w:bCs/>
        </w:rPr>
        <w:t>完善应急指挥机制。</w:t>
      </w:r>
      <w:r>
        <w:rPr>
          <w:rFonts w:hint="eastAsia"/>
        </w:rPr>
        <w:t>建设片区应急指挥分中心，推动应急平台之间系统对接、互联互通、数据交换、信息资源共享，提高基层应急平台终端信息采集能力，提升突发事件视频、图像、灾情等信息的报送效率，强化应急平台智能辅助指挥决策等功能。</w:t>
      </w:r>
    </w:p>
    <w:p>
      <w:pPr>
        <w:ind w:firstLine="643"/>
      </w:pPr>
      <w:r>
        <w:rPr>
          <w:rFonts w:hint="eastAsia"/>
          <w:b/>
          <w:bCs/>
        </w:rPr>
        <w:t>优化协同联动机制。</w:t>
      </w:r>
      <w:r>
        <w:rPr>
          <w:rFonts w:hint="eastAsia"/>
        </w:rPr>
        <w:t>推动片区5个乡镇、70个村（社区）应急队伍联动，强化“一主两辅”基层应急力量；推进与雁江区、安岳县、乐至中心城区片区、陈毅故里红色康养旅游片区、高寺农旅融合发展片区、回澜、通旅镇政府专职消防站、重点单位、社会各类救援队伍等相邻区县、片区和片区内社会力量、重点单位突发事件联动工作，健全工作互联、信息互通、预案互补、资源共享的协同联动机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ind w:firstLine="0" w:firstLineChars="0"/>
              <w:jc w:val="center"/>
              <w:rPr>
                <w:b/>
                <w:bCs/>
              </w:rPr>
            </w:pPr>
            <w:r>
              <w:rPr>
                <w:rFonts w:hint="eastAsia"/>
                <w:b/>
                <w:bCs/>
              </w:rPr>
              <w:t>专栏一  应急管理重点工程</w:t>
            </w:r>
          </w:p>
          <w:p>
            <w:pPr>
              <w:ind w:left="640" w:leftChars="200" w:firstLine="0" w:firstLineChars="0"/>
              <w:jc w:val="both"/>
            </w:pPr>
            <w:r>
              <w:rPr>
                <w:rFonts w:hint="eastAsia"/>
              </w:rPr>
              <w:t>（一）片区应急指挥分中心建设工程</w:t>
            </w:r>
          </w:p>
          <w:p>
            <w:pPr>
              <w:pStyle w:val="4"/>
              <w:jc w:val="both"/>
            </w:pPr>
            <w:r>
              <w:rPr>
                <w:rFonts w:hint="eastAsia"/>
              </w:rPr>
              <w:t>建设内容：依托东山镇、回澜镇、通旅镇政府专职消防站建设应急指挥分中心，配备融合通信系统、多媒体会议系统、应急管理系统、媒体录制系统、调度台、智能终端、视频接入网关、集群接入网关、电话接入网关等。</w:t>
            </w:r>
          </w:p>
          <w:p>
            <w:pPr>
              <w:pStyle w:val="4"/>
              <w:jc w:val="both"/>
            </w:pPr>
            <w:r>
              <w:rPr>
                <w:rFonts w:hint="eastAsia"/>
              </w:rPr>
              <w:t>项目功能：形成片区内信息化应急决策网络，实现突发事件信息采集、传输、存储、危机判定、决策分析、命令部署、实时沟通、联动指挥、现场支持等功能的应急指挥系统。</w:t>
            </w:r>
          </w:p>
          <w:p>
            <w:pPr>
              <w:jc w:val="both"/>
            </w:pPr>
            <w:r>
              <w:rPr>
                <w:rFonts w:hint="eastAsia"/>
              </w:rPr>
              <w:t>建设地点：东山镇、回澜镇、通旅镇</w:t>
            </w:r>
          </w:p>
          <w:p>
            <w:pPr>
              <w:jc w:val="both"/>
            </w:pPr>
            <w:r>
              <w:rPr>
                <w:rFonts w:hint="eastAsia"/>
              </w:rPr>
              <w:t>用地范围：利旧</w:t>
            </w:r>
          </w:p>
          <w:p>
            <w:pPr>
              <w:jc w:val="both"/>
            </w:pPr>
            <w:r>
              <w:rPr>
                <w:rFonts w:hint="eastAsia"/>
              </w:rPr>
              <w:t>责任单位：县应急管理局、各乡镇政府</w:t>
            </w:r>
          </w:p>
          <w:p>
            <w:pPr>
              <w:jc w:val="both"/>
            </w:pPr>
            <w:r>
              <w:rPr>
                <w:rFonts w:hint="eastAsia"/>
              </w:rPr>
              <w:t>完成期限：2035年前</w:t>
            </w:r>
          </w:p>
          <w:p>
            <w:pPr>
              <w:pStyle w:val="4"/>
              <w:jc w:val="both"/>
            </w:pPr>
            <w:r>
              <w:rPr>
                <w:rFonts w:hint="eastAsia"/>
              </w:rPr>
              <w:t>经费估算：600万元</w:t>
            </w:r>
          </w:p>
        </w:tc>
      </w:tr>
    </w:tbl>
    <w:p>
      <w:pPr>
        <w:pStyle w:val="5"/>
        <w:ind w:firstLine="420"/>
      </w:pPr>
    </w:p>
    <w:p>
      <w:pPr>
        <w:numPr>
          <w:ilvl w:val="0"/>
          <w:numId w:val="1"/>
        </w:numPr>
        <w:ind w:firstLine="0" w:firstLineChars="0"/>
        <w:jc w:val="center"/>
        <w:outlineLvl w:val="1"/>
        <w:rPr>
          <w:rFonts w:ascii="楷体" w:hAnsi="楷体" w:eastAsia="楷体" w:cs="楷体"/>
        </w:rPr>
      </w:pPr>
      <w:bookmarkStart w:id="33" w:name="_Toc28154"/>
      <w:r>
        <w:rPr>
          <w:rFonts w:hint="eastAsia" w:ascii="楷体" w:hAnsi="楷体" w:eastAsia="楷体" w:cs="楷体"/>
        </w:rPr>
        <w:t>安全生产风险防控方面</w:t>
      </w:r>
      <w:bookmarkEnd w:id="33"/>
    </w:p>
    <w:p>
      <w:pPr>
        <w:ind w:firstLine="643"/>
      </w:pPr>
      <w:r>
        <w:rPr>
          <w:rFonts w:hint="eastAsia"/>
          <w:b/>
          <w:bCs/>
        </w:rPr>
        <w:t>监管监察能力建设。</w:t>
      </w:r>
      <w:r>
        <w:rPr>
          <w:rFonts w:hint="eastAsia"/>
        </w:rPr>
        <w:t>强化安全生产风险管控和隐患排查治理体系、安全生产监管信息化和监管能力建设。推进重点企业安全风险分级和隐患排查治理双重预防机制建设，提升重大危险源监测监控能力。实现政府监管监察执法、企业在线监测和预警防控信息一体化。</w:t>
      </w:r>
    </w:p>
    <w:p>
      <w:pPr>
        <w:ind w:firstLine="643"/>
      </w:pPr>
      <w:r>
        <w:rPr>
          <w:rFonts w:hint="eastAsia"/>
          <w:b/>
          <w:bCs/>
        </w:rPr>
        <w:t>加强源头管控。</w:t>
      </w:r>
      <w:r>
        <w:rPr>
          <w:rFonts w:hint="eastAsia"/>
        </w:rPr>
        <w:t>以自然灾害综合风险普查数据为基准，编制片区内主要安全生产防控区划图。健全食品加工行业安全风险评估与论证机制，加强对燃爆危险源的火灾防控。积极促进企业开展“三项岗位人员”培训，全面提升高危行业企业主要负责人、安全管理人员及特种作业人员的安全素养和安全操作技能。</w:t>
      </w:r>
    </w:p>
    <w:p>
      <w:pPr>
        <w:ind w:firstLine="643"/>
      </w:pPr>
      <w:r>
        <w:rPr>
          <w:rFonts w:hint="eastAsia"/>
          <w:b/>
          <w:bCs/>
        </w:rPr>
        <w:t>强化风险监测。</w:t>
      </w:r>
      <w:r>
        <w:rPr>
          <w:rFonts w:hint="eastAsia"/>
        </w:rPr>
        <w:t>一是推动企业生产信息与政府互联互通。充分利用物联网、视频识别、5G等技术，以感知设备智能化、网络化、微型化、集成化为特征，强化风险感知网络，提高监测感知能力。二是加强安全生产风险预报预警能力建设。实现对文保单位、烟花爆竹存储仓库、加油站、道路交通、建筑施工、消防、非煤矿山、工贸和人员密集场所等重点行业领域、重点区域、重点企业、重要设施安全风险态势评估、动态监测和分级预警。</w:t>
      </w:r>
    </w:p>
    <w:p>
      <w:pPr>
        <w:ind w:firstLine="643"/>
      </w:pPr>
      <w:r>
        <w:rPr>
          <w:rFonts w:hint="eastAsia"/>
          <w:b/>
          <w:bCs/>
        </w:rPr>
        <w:t>巩固提升安全生产专项整治成果。</w:t>
      </w:r>
      <w:r>
        <w:rPr>
          <w:rFonts w:hint="eastAsia"/>
        </w:rPr>
        <w:t>健全落实安全风险分级管 控和隐患排查治理双重预防机制，严格落实企业“双报告”工作 制度。强化隐患治理全过程闭环管理，推动企业隐患自查自改自 报、政府部门监督检查、第三方机构（专家）专业指导、企业职 工广泛参与、社会公众举报监督等多方联动共治。持续推进企业 安全生产标准化创建。巩固提升危险化学品、道路交通、建筑施 工、消防安全、工贸行业重点环节、特种设备、农业农村等重点 行业（领域）和商场等人员密集场所安全生产专项整治成果，实 现安全事故风险得到有效管控，安全生产整体水平明显提高。</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ind w:firstLine="0" w:firstLineChars="0"/>
              <w:jc w:val="center"/>
              <w:rPr>
                <w:b/>
                <w:bCs/>
              </w:rPr>
            </w:pPr>
            <w:r>
              <w:rPr>
                <w:rFonts w:hint="eastAsia"/>
                <w:b/>
                <w:bCs/>
              </w:rPr>
              <w:t>专栏二  安全生产风险防控重点工程</w:t>
            </w:r>
          </w:p>
          <w:p>
            <w:pPr>
              <w:jc w:val="both"/>
            </w:pPr>
            <w:r>
              <w:rPr>
                <w:rFonts w:hint="eastAsia"/>
              </w:rPr>
              <w:t>（一）安全生产风险监测预警系统工程</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建设内容：建设应急管理综合信息平台，包含开发电脑管理端和改造移动app端。</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项目功能：电脑管理端具备动态监控安全风险管控措施落实、隐患排查任务推送、隐患排查治理情况跟踪监督、机制运行效果评估、异常状态自动预警及考核奖惩等功能；移动APP端具备隐患排查任务和预警信息接收、现场隐患排查情况实时上报、隐患治理全程跟踪等功能，实现重点单位与政府端数据互联互通。</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建设地点：烟花爆竹企业、6家非煤矿山企业、7家加油站</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用地范围：无新占地</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责任单位：县应急管理局、各乡镇政府、重点单位</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完成期限：2025年前</w:t>
            </w:r>
          </w:p>
          <w:p>
            <w:pPr>
              <w:pStyle w:val="5"/>
              <w:jc w:val="both"/>
            </w:pPr>
            <w:r>
              <w:rPr>
                <w:rFonts w:hint="eastAsia" w:ascii="Times New Roman" w:hAnsi="Times New Roman" w:eastAsia="仿宋" w:cs="Times New Roman"/>
                <w:sz w:val="32"/>
                <w:szCs w:val="24"/>
              </w:rPr>
              <w:t>经费估算：50万元</w:t>
            </w:r>
          </w:p>
        </w:tc>
      </w:tr>
    </w:tbl>
    <w:p>
      <w:pPr>
        <w:ind w:firstLine="0" w:firstLineChars="0"/>
        <w:jc w:val="center"/>
        <w:outlineLvl w:val="1"/>
        <w:rPr>
          <w:rFonts w:ascii="楷体" w:hAnsi="楷体" w:eastAsia="楷体" w:cs="楷体"/>
        </w:rPr>
      </w:pPr>
      <w:bookmarkStart w:id="34" w:name="_Toc886"/>
      <w:r>
        <w:rPr>
          <w:rFonts w:hint="eastAsia" w:ascii="楷体" w:hAnsi="楷体" w:eastAsia="楷体" w:cs="楷体"/>
        </w:rPr>
        <w:t>（三）自然灾害防治方面</w:t>
      </w:r>
      <w:bookmarkEnd w:id="34"/>
    </w:p>
    <w:p>
      <w:pPr>
        <w:widowControl/>
        <w:ind w:firstLine="643"/>
        <w:rPr>
          <w:rFonts w:cs="仿宋"/>
          <w:b/>
          <w:bCs/>
          <w:color w:val="000000"/>
          <w:kern w:val="0"/>
          <w:szCs w:val="32"/>
          <w:lang w:bidi="ar"/>
        </w:rPr>
      </w:pPr>
      <w:r>
        <w:rPr>
          <w:rFonts w:hint="eastAsia" w:cs="仿宋"/>
          <w:b/>
          <w:bCs/>
          <w:color w:val="000000"/>
          <w:kern w:val="0"/>
          <w:szCs w:val="32"/>
          <w:lang w:bidi="ar"/>
        </w:rPr>
        <w:t>落实主体责任，健全管理体系。</w:t>
      </w:r>
      <w:r>
        <w:rPr>
          <w:rFonts w:hint="eastAsia" w:cs="仿宋"/>
          <w:color w:val="000000"/>
          <w:kern w:val="0"/>
          <w:szCs w:val="32"/>
          <w:lang w:bidi="ar"/>
        </w:rPr>
        <w:t>落实“有机构、有人员、有条件、有能力、有规则”“五有”要求，围绕机构设置、职能职责、人员配备、设施装备、监管监控、工作制度、救援队伍等7个方面，推进片区各乡镇应急机构规范化建设。</w:t>
      </w:r>
    </w:p>
    <w:p>
      <w:pPr>
        <w:widowControl/>
        <w:ind w:firstLine="643"/>
        <w:rPr>
          <w:rFonts w:cs="仿宋"/>
          <w:b/>
          <w:bCs/>
          <w:color w:val="000000"/>
          <w:kern w:val="0"/>
          <w:szCs w:val="32"/>
          <w:lang w:bidi="ar"/>
        </w:rPr>
      </w:pPr>
      <w:r>
        <w:rPr>
          <w:rFonts w:hint="eastAsia" w:cs="仿宋"/>
          <w:b/>
          <w:bCs/>
          <w:color w:val="000000"/>
          <w:kern w:val="0"/>
          <w:szCs w:val="32"/>
          <w:lang w:bidi="ar"/>
        </w:rPr>
        <w:t>夯实基层基础，提升能力水平。</w:t>
      </w:r>
      <w:r>
        <w:rPr>
          <w:rFonts w:hint="eastAsia" w:cs="仿宋"/>
          <w:color w:val="000000"/>
          <w:kern w:val="0"/>
          <w:szCs w:val="32"/>
          <w:lang w:bidi="ar"/>
        </w:rPr>
        <w:t>围绕各类灾害领域、防灾减灾救灾各环节和预警管理等重要专项，组织开展各级各类业务培训，增强防范和第一时间处置灾害事故能力。各乡镇做好防灾减灾宣传工作，推动防灾减灾救灾宣传进企业、进农村、进社区、进学校、进家庭，统筹推进综合减灾示范社区建设。</w:t>
      </w:r>
    </w:p>
    <w:p>
      <w:pPr>
        <w:widowControl/>
        <w:ind w:firstLine="643"/>
        <w:rPr>
          <w:rFonts w:cs="仿宋"/>
          <w:color w:val="000000"/>
          <w:kern w:val="0"/>
          <w:szCs w:val="32"/>
          <w:lang w:bidi="ar"/>
        </w:rPr>
      </w:pPr>
      <w:r>
        <w:rPr>
          <w:rFonts w:hint="eastAsia" w:cs="仿宋"/>
          <w:b/>
          <w:bCs/>
          <w:color w:val="000000"/>
          <w:kern w:val="0"/>
          <w:szCs w:val="32"/>
          <w:lang w:bidi="ar"/>
        </w:rPr>
        <w:t>强化基础设施，提升防灾能力。</w:t>
      </w:r>
      <w:r>
        <w:rPr>
          <w:rFonts w:hint="eastAsia" w:cs="仿宋"/>
          <w:color w:val="000000"/>
          <w:kern w:val="0"/>
          <w:szCs w:val="32"/>
          <w:lang w:bidi="ar"/>
        </w:rPr>
        <w:t>一是</w:t>
      </w:r>
      <w:r>
        <w:rPr>
          <w:rFonts w:hint="eastAsia" w:cs="仿宋"/>
          <w:b/>
          <w:bCs/>
          <w:color w:val="000000"/>
          <w:kern w:val="0"/>
          <w:szCs w:val="32"/>
          <w:lang w:bidi="ar"/>
        </w:rPr>
        <w:t>推进三类灾害工程防御。</w:t>
      </w:r>
      <w:r>
        <w:rPr>
          <w:rFonts w:hint="eastAsia" w:cs="仿宋"/>
          <w:color w:val="000000"/>
          <w:kern w:val="0"/>
          <w:szCs w:val="32"/>
          <w:lang w:bidi="ar"/>
        </w:rPr>
        <w:t>推进片区24座水库安全鉴定和治理工程。推进通旅镇、石湍镇、双河场乡8处地质灾害隐患点排危除险工程。推进森林防火站、消防水池、智能监控“三大工程”建设，片区内23个重点和较重森林防火区域建立森林防火检查站，为高火险期内延长值守时间创造了基础保障，同时能更加有效进行森林防火宣传，对进山火源进行监测预警，确保把火灾隐患消除在萌芽状态。二是</w:t>
      </w:r>
      <w:r>
        <w:rPr>
          <w:rFonts w:hint="eastAsia" w:cs="仿宋"/>
          <w:b/>
          <w:bCs/>
          <w:color w:val="000000"/>
          <w:kern w:val="0"/>
          <w:szCs w:val="32"/>
          <w:lang w:bidi="ar"/>
        </w:rPr>
        <w:t>强化三类灾害监测预警。</w:t>
      </w:r>
      <w:r>
        <w:rPr>
          <w:rFonts w:hint="eastAsia" w:cs="仿宋"/>
          <w:color w:val="000000"/>
          <w:kern w:val="0"/>
          <w:szCs w:val="32"/>
          <w:lang w:bidi="ar"/>
        </w:rPr>
        <w:t>加强片区内涪江、沿沱分水岭和24座水库水情汛情及土壤墒情监测，强化城镇低洼区域、山洪灾害易发区等监测预警。加强地质灾害“四重”网格化监测和专业监测，推进地质灾害智能化监测预警项目建设，强化片区内8处地质灾害隐患点、山区农民自建房等监测预报；强化森林草原防火智能监控系统建设；推进村（社区）预警工作站建设，开通预警APP和预警微信公众号，完善多渠道预警信息传播机制，确保预警信息到村到户到人的覆盖面和时效性。</w:t>
      </w:r>
    </w:p>
    <w:p>
      <w:pPr>
        <w:pStyle w:val="5"/>
        <w:ind w:firstLine="643"/>
        <w:rPr>
          <w:rFonts w:ascii="Times New Roman" w:hAnsi="Times New Roman" w:eastAsia="仿宋" w:cs="仿宋"/>
          <w:color w:val="000000"/>
          <w:kern w:val="0"/>
          <w:sz w:val="32"/>
          <w:szCs w:val="32"/>
          <w:lang w:bidi="ar"/>
        </w:rPr>
      </w:pPr>
      <w:r>
        <w:rPr>
          <w:rFonts w:hint="eastAsia" w:ascii="Times New Roman" w:hAnsi="Times New Roman" w:eastAsia="仿宋" w:cs="仿宋"/>
          <w:b/>
          <w:bCs/>
          <w:color w:val="000000"/>
          <w:kern w:val="0"/>
          <w:sz w:val="32"/>
          <w:szCs w:val="32"/>
          <w:lang w:bidi="ar"/>
        </w:rPr>
        <w:t>加强统筹协调，提升救援能力。加强统筹协调。</w:t>
      </w:r>
      <w:r>
        <w:rPr>
          <w:rFonts w:hint="eastAsia" w:ascii="Times New Roman" w:hAnsi="Times New Roman" w:eastAsia="仿宋" w:cs="仿宋"/>
          <w:color w:val="000000"/>
          <w:kern w:val="0"/>
          <w:sz w:val="32"/>
          <w:szCs w:val="32"/>
          <w:lang w:bidi="ar"/>
        </w:rPr>
        <w:t>各乡镇进一步完善自然灾害常态预防治理和应急抢险救援工作机制，上行下效，着力强化片区应急指挥分中心统筹协调，各乡镇、村（社区）防治主体作用发挥。统筹部署推进春季防火抗旱、汛前综合准备、汛期防洪防地灾、盛夏防火抗旱、冬季灾害防御、冬春强基准备等重点阶段工作，加强工作督导，强化过程考核。</w:t>
      </w:r>
      <w:r>
        <w:rPr>
          <w:rFonts w:hint="eastAsia" w:ascii="Times New Roman" w:hAnsi="Times New Roman" w:eastAsia="仿宋" w:cs="仿宋"/>
          <w:b/>
          <w:bCs/>
          <w:color w:val="000000"/>
          <w:kern w:val="0"/>
          <w:sz w:val="32"/>
          <w:szCs w:val="32"/>
          <w:lang w:bidi="ar"/>
        </w:rPr>
        <w:t>提升救援能力。</w:t>
      </w:r>
      <w:r>
        <w:rPr>
          <w:rFonts w:hint="eastAsia" w:ascii="Times New Roman" w:hAnsi="Times New Roman" w:eastAsia="仿宋" w:cs="仿宋"/>
          <w:color w:val="000000"/>
          <w:kern w:val="0"/>
          <w:sz w:val="32"/>
          <w:szCs w:val="32"/>
          <w:lang w:bidi="ar"/>
        </w:rPr>
        <w:t>一是</w:t>
      </w:r>
      <w:r>
        <w:rPr>
          <w:rFonts w:hint="eastAsia" w:ascii="Times New Roman" w:hAnsi="Times New Roman" w:eastAsia="仿宋" w:cs="仿宋"/>
          <w:b/>
          <w:bCs/>
          <w:color w:val="000000"/>
          <w:kern w:val="0"/>
          <w:sz w:val="32"/>
          <w:szCs w:val="32"/>
          <w:lang w:bidi="ar"/>
        </w:rPr>
        <w:t>队伍建设。</w:t>
      </w:r>
      <w:r>
        <w:rPr>
          <w:rFonts w:hint="eastAsia" w:ascii="Times New Roman" w:hAnsi="Times New Roman" w:eastAsia="仿宋" w:cs="仿宋"/>
          <w:color w:val="000000"/>
          <w:kern w:val="0"/>
          <w:sz w:val="32"/>
          <w:szCs w:val="32"/>
          <w:lang w:bidi="ar"/>
        </w:rPr>
        <w:t>针对易受灾村（社区）配备一批灾害防汛抢险、森林灭火、指挥通讯等常用适用应急救援装备。开展自然灾害专业队伍和保障队伍集结拉练，组织地灾应急抢险综合应急演练和森林灭火应急演练，着力提升地灾、森林火灾易发村（社区）应急救援分队的应急救援能力。二是</w:t>
      </w:r>
      <w:r>
        <w:rPr>
          <w:rFonts w:hint="eastAsia" w:ascii="Times New Roman" w:hAnsi="Times New Roman" w:eastAsia="仿宋" w:cs="仿宋"/>
          <w:b/>
          <w:bCs/>
          <w:color w:val="000000"/>
          <w:kern w:val="0"/>
          <w:sz w:val="32"/>
          <w:szCs w:val="32"/>
          <w:lang w:bidi="ar"/>
        </w:rPr>
        <w:t>指挥调度。</w:t>
      </w:r>
      <w:r>
        <w:rPr>
          <w:rFonts w:hint="eastAsia" w:ascii="Times New Roman" w:hAnsi="Times New Roman" w:eastAsia="仿宋" w:cs="仿宋"/>
          <w:color w:val="000000"/>
          <w:kern w:val="0"/>
          <w:sz w:val="32"/>
          <w:szCs w:val="32"/>
          <w:lang w:bidi="ar"/>
        </w:rPr>
        <w:t>推进片区应急指挥分中心建设，深化现场指挥部标准化建设，建立完善片区应急指挥调度体系，着力提升前、后方应急指挥调度水平。三是</w:t>
      </w:r>
      <w:r>
        <w:rPr>
          <w:rFonts w:hint="eastAsia" w:ascii="Times New Roman" w:hAnsi="Times New Roman" w:eastAsia="仿宋" w:cs="仿宋"/>
          <w:b/>
          <w:bCs/>
          <w:color w:val="000000"/>
          <w:kern w:val="0"/>
          <w:sz w:val="32"/>
          <w:szCs w:val="32"/>
          <w:lang w:bidi="ar"/>
        </w:rPr>
        <w:t>联动响应。</w:t>
      </w:r>
      <w:r>
        <w:rPr>
          <w:rFonts w:hint="eastAsia" w:ascii="Times New Roman" w:hAnsi="Times New Roman" w:eastAsia="仿宋" w:cs="仿宋"/>
          <w:color w:val="000000"/>
          <w:kern w:val="0"/>
          <w:sz w:val="32"/>
          <w:szCs w:val="32"/>
          <w:lang w:bidi="ar"/>
        </w:rPr>
        <w:t>健全联动响应机制，优化回澜镇、通旅镇政府专职消防队、各乡镇、村（社区）应急救援队伍，社会力量间的应急指挥协调联动机制，与相关专业力量签订应急救援服务协议，努力形成统一指挥、专常兼备、反应灵敏、上下联动的应急管理体制。</w:t>
      </w:r>
    </w:p>
    <w:p>
      <w:pPr>
        <w:widowControl/>
        <w:ind w:firstLine="643"/>
        <w:rPr>
          <w:rFonts w:cs="仿宋"/>
          <w:b/>
          <w:bCs/>
          <w:color w:val="000000"/>
          <w:kern w:val="0"/>
          <w:szCs w:val="32"/>
          <w:lang w:bidi="ar"/>
        </w:rPr>
      </w:pPr>
      <w:r>
        <w:rPr>
          <w:rFonts w:hint="eastAsia" w:cs="仿宋"/>
          <w:b/>
          <w:bCs/>
          <w:color w:val="000000"/>
          <w:kern w:val="0"/>
          <w:szCs w:val="32"/>
          <w:lang w:bidi="ar"/>
        </w:rPr>
        <w:t>持续完善预案，开展预案演练。</w:t>
      </w:r>
      <w:r>
        <w:rPr>
          <w:rFonts w:hint="eastAsia" w:cs="仿宋"/>
          <w:color w:val="000000"/>
          <w:kern w:val="0"/>
          <w:szCs w:val="32"/>
          <w:lang w:bidi="ar"/>
        </w:rPr>
        <w:t>各乡镇完成总体预案、专项预案的修订完善，优化编制现场处置方案和简明实用的应急处置卡。各乡镇制定应急演练计划，组织易发多发灾害的村（社区）开展山洪灾害、地质灾害抢险救援、森林灭火等专项应急演练。各村（社区）要组织开展群众广泛参与的应急救援演练，各地灾隐患点要开展一次以上人员疏散演练。</w:t>
      </w:r>
    </w:p>
    <w:p>
      <w:pPr>
        <w:widowControl/>
        <w:ind w:firstLine="643"/>
        <w:rPr>
          <w:rFonts w:cs="仿宋"/>
          <w:color w:val="000000"/>
          <w:kern w:val="0"/>
          <w:szCs w:val="32"/>
          <w:lang w:bidi="ar"/>
        </w:rPr>
      </w:pPr>
      <w:r>
        <w:rPr>
          <w:rFonts w:hint="eastAsia" w:cs="仿宋"/>
          <w:b/>
          <w:bCs/>
          <w:color w:val="000000"/>
          <w:kern w:val="0"/>
          <w:szCs w:val="32"/>
          <w:lang w:bidi="ar"/>
        </w:rPr>
        <w:t>加强物资保障，做好灾后重建。</w:t>
      </w:r>
      <w:r>
        <w:rPr>
          <w:rFonts w:hint="eastAsia" w:cs="仿宋"/>
          <w:color w:val="000000"/>
          <w:kern w:val="0"/>
          <w:szCs w:val="32"/>
          <w:lang w:bidi="ar"/>
        </w:rPr>
        <w:t>建立完善以政府储备为主、社会储备为辅的应急物资储备机制和应急物资储备体系，地灾、森林火灾易发村（社区）至少保障受威胁人口紧急转移安置所需。落实灾后倒房重建、冬春救助等工作，确保受灾困难群众“五有”生活保障率达到100%。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ind w:firstLine="0" w:firstLineChars="0"/>
              <w:jc w:val="center"/>
            </w:pPr>
            <w:r>
              <w:rPr>
                <w:rFonts w:hint="eastAsia"/>
              </w:rPr>
              <w:t>专栏三  自然灾害防治重点工程</w:t>
            </w:r>
          </w:p>
          <w:p>
            <w:pPr>
              <w:ind w:left="640" w:leftChars="200" w:firstLine="0" w:firstLineChars="0"/>
              <w:jc w:val="both"/>
            </w:pPr>
            <w:r>
              <w:rPr>
                <w:rFonts w:hint="eastAsia"/>
              </w:rPr>
              <w:t>（一）防汛抗洪能力提升工程</w:t>
            </w:r>
          </w:p>
          <w:p>
            <w:pPr>
              <w:pStyle w:val="4"/>
              <w:jc w:val="both"/>
            </w:pPr>
            <w:r>
              <w:rPr>
                <w:rFonts w:hint="eastAsia"/>
              </w:rPr>
              <w:t>建设内容：规划乡镇镇区防洪标准为20年一遇，农村集中居住点防洪标准为10年一遇，在片区内13个山洪灾害危险点进行复核及危险区分级管理，增设防洪设施和监测设备，对片区内24座水库定期进行安全鉴定，完成剩余水库的除险加固。</w:t>
            </w:r>
          </w:p>
          <w:p>
            <w:pPr>
              <w:jc w:val="both"/>
            </w:pPr>
            <w:r>
              <w:rPr>
                <w:rFonts w:hint="eastAsia"/>
              </w:rPr>
              <w:t>项目功能：提高片区防洪抗洪能力；增强自然灾害预警能力；消除水库安全隐患。</w:t>
            </w:r>
          </w:p>
          <w:p>
            <w:pPr>
              <w:jc w:val="both"/>
            </w:pPr>
            <w:r>
              <w:rPr>
                <w:rFonts w:hint="eastAsia"/>
              </w:rPr>
              <w:t>建设地点：片区各乡镇，13个山洪灾害危险点、24座水库</w:t>
            </w:r>
          </w:p>
          <w:p>
            <w:pPr>
              <w:jc w:val="both"/>
            </w:pPr>
            <w:r>
              <w:rPr>
                <w:rFonts w:hint="eastAsia"/>
              </w:rPr>
              <w:t>用地范围：无新占地</w:t>
            </w:r>
          </w:p>
          <w:p>
            <w:pPr>
              <w:jc w:val="both"/>
            </w:pPr>
            <w:r>
              <w:rPr>
                <w:rFonts w:hint="eastAsia"/>
              </w:rPr>
              <w:t>责任单位：县水务局、各乡镇政府。</w:t>
            </w:r>
          </w:p>
          <w:p>
            <w:pPr>
              <w:jc w:val="both"/>
            </w:pPr>
            <w:r>
              <w:rPr>
                <w:rFonts w:hint="eastAsia"/>
              </w:rPr>
              <w:t>完成期限：2025年前</w:t>
            </w:r>
          </w:p>
          <w:p>
            <w:pPr>
              <w:pStyle w:val="4"/>
              <w:jc w:val="both"/>
            </w:pPr>
            <w:r>
              <w:rPr>
                <w:rFonts w:hint="eastAsia"/>
              </w:rPr>
              <w:t>经费估算：800万元</w:t>
            </w:r>
          </w:p>
          <w:p>
            <w:pPr>
              <w:jc w:val="both"/>
            </w:pPr>
            <w:r>
              <w:rPr>
                <w:rFonts w:hint="eastAsia"/>
              </w:rPr>
              <w:t>（二）地质灾害防治工程</w:t>
            </w:r>
          </w:p>
          <w:p>
            <w:pPr>
              <w:pStyle w:val="4"/>
              <w:ind w:left="640" w:leftChars="200" w:firstLine="0" w:firstLineChars="0"/>
              <w:jc w:val="both"/>
            </w:pPr>
            <w:r>
              <w:rPr>
                <w:rFonts w:hint="eastAsia"/>
              </w:rPr>
              <w:t>建设内容：片区内8处地质灾害隐患点安装监测预警设备，实施排危除险。</w:t>
            </w:r>
          </w:p>
          <w:p>
            <w:pPr>
              <w:jc w:val="both"/>
              <w:rPr>
                <w:rFonts w:hint="eastAsia"/>
              </w:rPr>
            </w:pPr>
            <w:r>
              <w:rPr>
                <w:rFonts w:hint="eastAsia"/>
              </w:rPr>
              <w:t>项目功能：加强对地质灾害的风险防控的能力，消除潜在安全隐患。</w:t>
            </w:r>
          </w:p>
          <w:p>
            <w:pPr>
              <w:jc w:val="both"/>
            </w:pPr>
            <w:r>
              <w:rPr>
                <w:rFonts w:hint="eastAsia"/>
              </w:rPr>
              <w:t>建设地点：石湍镇、通旅镇和双河场乡地质灾害点。</w:t>
            </w:r>
          </w:p>
          <w:p>
            <w:pPr>
              <w:pStyle w:val="4"/>
              <w:jc w:val="both"/>
            </w:pPr>
            <w:r>
              <w:rPr>
                <w:rFonts w:hint="eastAsia"/>
              </w:rPr>
              <w:t>用地范围：无新占地</w:t>
            </w:r>
          </w:p>
          <w:p>
            <w:pPr>
              <w:jc w:val="both"/>
            </w:pPr>
            <w:r>
              <w:rPr>
                <w:rFonts w:hint="eastAsia"/>
              </w:rPr>
              <w:t>责任单位：县自然资源和规划局、石湍镇、通旅镇、双河场乡政府。</w:t>
            </w:r>
          </w:p>
          <w:p>
            <w:pPr>
              <w:jc w:val="both"/>
            </w:pPr>
            <w:r>
              <w:rPr>
                <w:rFonts w:hint="eastAsia"/>
              </w:rPr>
              <w:t>完成期限：2025年前</w:t>
            </w:r>
          </w:p>
          <w:p>
            <w:pPr>
              <w:ind w:left="640" w:leftChars="200" w:firstLine="0" w:firstLineChars="0"/>
              <w:jc w:val="both"/>
            </w:pPr>
            <w:r>
              <w:rPr>
                <w:rFonts w:hint="eastAsia"/>
              </w:rPr>
              <w:t>经费估算：160万元</w:t>
            </w:r>
          </w:p>
          <w:p>
            <w:pPr>
              <w:ind w:left="640" w:leftChars="200" w:firstLine="0" w:firstLineChars="0"/>
              <w:jc w:val="both"/>
            </w:pPr>
            <w:r>
              <w:rPr>
                <w:rFonts w:hint="eastAsia"/>
              </w:rPr>
              <w:t>（三）森林火灾防治工程</w:t>
            </w:r>
          </w:p>
          <w:p>
            <w:pPr>
              <w:jc w:val="both"/>
              <w:rPr>
                <w:rFonts w:hint="eastAsia"/>
              </w:rPr>
            </w:pPr>
            <w:r>
              <w:rPr>
                <w:rFonts w:hint="eastAsia"/>
              </w:rPr>
              <w:t>建设内容：新建消防水池7口，在重点森林防火区域的</w:t>
            </w:r>
            <w:r>
              <w:t>村（社区）</w:t>
            </w:r>
            <w:r>
              <w:rPr>
                <w:rFonts w:hint="eastAsia"/>
              </w:rPr>
              <w:t>建设</w:t>
            </w:r>
            <w:r>
              <w:t>预警工作站，</w:t>
            </w:r>
            <w:r>
              <w:rPr>
                <w:rFonts w:hint="eastAsia"/>
              </w:rPr>
              <w:t>开发</w:t>
            </w:r>
            <w:r>
              <w:t>预警APP和预警微信公众号</w:t>
            </w:r>
            <w:r>
              <w:rPr>
                <w:rFonts w:hint="eastAsia"/>
              </w:rPr>
              <w:t xml:space="preserve">。 </w:t>
            </w:r>
          </w:p>
          <w:p>
            <w:pPr>
              <w:jc w:val="both"/>
              <w:rPr>
                <w:rFonts w:hint="eastAsia"/>
              </w:rPr>
            </w:pPr>
            <w:r>
              <w:rPr>
                <w:rFonts w:hint="eastAsia"/>
              </w:rPr>
              <w:t>项目功能：</w:t>
            </w:r>
            <w:r>
              <w:t>完善多渠道预警信息传播机制，确保预警信息到村到户到人的覆盖面和时效性。</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建设地点：东山镇马家井村、八角庙村、高隆庙村、方广村、凤凰村、大茅坪村；回澜镇乐安社区、五台山村、万安社区、油坊村、马锣寺村；石湍镇河东社区、桂花社区、玉峰山村；双河场乡西岳村。</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用地范围：回澜镇乐安社区、五台山村、万安社区、油坊村、马锣寺村。</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责任单位：县林业局、涉及乡镇政府</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完成期限：2025年前</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经费估算：100万元</w:t>
            </w:r>
          </w:p>
        </w:tc>
      </w:tr>
    </w:tbl>
    <w:p>
      <w:pPr>
        <w:ind w:firstLine="0" w:firstLineChars="0"/>
        <w:jc w:val="center"/>
        <w:outlineLvl w:val="1"/>
        <w:rPr>
          <w:rFonts w:ascii="楷体" w:hAnsi="楷体" w:eastAsia="楷体" w:cs="楷体"/>
        </w:rPr>
      </w:pPr>
      <w:bookmarkStart w:id="35" w:name="_Toc3354"/>
      <w:r>
        <w:rPr>
          <w:rFonts w:hint="eastAsia" w:ascii="楷体" w:hAnsi="楷体" w:eastAsia="楷体" w:cs="楷体"/>
        </w:rPr>
        <w:t>（四）应急能力建设方面</w:t>
      </w:r>
      <w:bookmarkEnd w:id="35"/>
    </w:p>
    <w:p>
      <w:pPr>
        <w:ind w:firstLine="643"/>
      </w:pPr>
      <w:r>
        <w:rPr>
          <w:rFonts w:cs="仿宋"/>
          <w:b/>
          <w:bCs/>
          <w:color w:val="000000"/>
          <w:kern w:val="0"/>
          <w:szCs w:val="32"/>
          <w:lang w:bidi="ar"/>
        </w:rPr>
        <w:t>应急队伍建设。</w:t>
      </w:r>
      <w:r>
        <w:rPr>
          <w:rFonts w:hint="eastAsia" w:cs="仿宋"/>
          <w:color w:val="000000"/>
          <w:kern w:val="0"/>
          <w:szCs w:val="32"/>
          <w:lang w:bidi="ar"/>
        </w:rPr>
        <w:t>强化应急队伍自救、互救知识培训,增强服务技能。依托回澜镇、通旅镇政府专职消防队和在规划劳动镇防灾减灾综科普训练基地业务培训等时机开展应急队伍的日常训练和演练，进一步完善演训工作机制。</w:t>
      </w:r>
    </w:p>
    <w:p>
      <w:pPr>
        <w:widowControl/>
        <w:ind w:firstLine="622"/>
        <w:rPr>
          <w:rFonts w:cs="仿宋"/>
          <w:color w:val="000000"/>
          <w:kern w:val="0"/>
          <w:sz w:val="31"/>
          <w:szCs w:val="32"/>
          <w:lang w:bidi="ar"/>
        </w:rPr>
      </w:pPr>
      <w:r>
        <w:rPr>
          <w:rFonts w:hint="eastAsia" w:cs="仿宋"/>
          <w:b/>
          <w:bCs/>
          <w:color w:val="000000"/>
          <w:kern w:val="0"/>
          <w:sz w:val="31"/>
          <w:szCs w:val="32"/>
          <w:lang w:bidi="ar"/>
        </w:rPr>
        <w:t>应急预案建设。</w:t>
      </w:r>
      <w:r>
        <w:rPr>
          <w:rFonts w:hint="eastAsia" w:cs="仿宋"/>
          <w:color w:val="000000"/>
          <w:kern w:val="0"/>
          <w:sz w:val="31"/>
          <w:szCs w:val="32"/>
          <w:lang w:bidi="ar"/>
        </w:rPr>
        <w:t>编制《乐至县东山林业蚕桑融合发展片区突发事件总体应急预案》，各乡镇进一步完善综合应急预案，结合区域灾害特点完善防汛抗旱、地灾、森林防灭火等专项应急预案，明确突发事件预警信息传播、先期处置和自救互救、信息收集报告、人员临时安置等内容。各乡镇每年至少开展一次综合应急演练和2—3次有针对性的演练，并对演练效能进行评估。</w:t>
      </w:r>
    </w:p>
    <w:p>
      <w:pPr>
        <w:widowControl/>
        <w:ind w:firstLine="622"/>
      </w:pPr>
      <w:r>
        <w:rPr>
          <w:rFonts w:hint="eastAsia" w:cs="仿宋"/>
          <w:b/>
          <w:bCs/>
          <w:color w:val="000000"/>
          <w:kern w:val="0"/>
          <w:sz w:val="31"/>
          <w:szCs w:val="32"/>
          <w:lang w:bidi="ar"/>
        </w:rPr>
        <w:t>应急装备建设。</w:t>
      </w:r>
      <w:r>
        <w:rPr>
          <w:rFonts w:hint="eastAsia" w:cs="仿宋"/>
          <w:color w:val="000000"/>
          <w:kern w:val="0"/>
          <w:sz w:val="31"/>
          <w:szCs w:val="32"/>
          <w:lang w:bidi="ar"/>
        </w:rPr>
        <w:t>一是</w:t>
      </w:r>
      <w:r>
        <w:rPr>
          <w:rFonts w:hint="eastAsia" w:cs="仿宋"/>
          <w:b/>
          <w:bCs/>
          <w:color w:val="000000"/>
          <w:kern w:val="0"/>
          <w:sz w:val="31"/>
          <w:szCs w:val="32"/>
          <w:lang w:bidi="ar"/>
        </w:rPr>
        <w:t>优化应急救援装备结构</w:t>
      </w:r>
      <w:r>
        <w:rPr>
          <w:rFonts w:hint="eastAsia" w:cs="仿宋"/>
          <w:color w:val="000000"/>
          <w:kern w:val="0"/>
          <w:sz w:val="31"/>
          <w:szCs w:val="32"/>
          <w:lang w:bidi="ar"/>
        </w:rPr>
        <w:t>。针对片区各区域灾害类型特点，逐步为应急救援队伍配备标准化、系列化、通用化的工程、抢险、救护等装备。二是</w:t>
      </w:r>
      <w:r>
        <w:rPr>
          <w:rFonts w:hint="eastAsia" w:cs="仿宋"/>
          <w:b/>
          <w:bCs/>
          <w:color w:val="000000"/>
          <w:kern w:val="0"/>
          <w:sz w:val="31"/>
          <w:szCs w:val="32"/>
          <w:lang w:bidi="ar"/>
        </w:rPr>
        <w:t>加强应急救援装备管理</w:t>
      </w:r>
      <w:r>
        <w:rPr>
          <w:rFonts w:hint="eastAsia" w:cs="仿宋"/>
          <w:color w:val="000000"/>
          <w:kern w:val="0"/>
          <w:sz w:val="31"/>
          <w:szCs w:val="32"/>
          <w:lang w:bidi="ar"/>
        </w:rPr>
        <w:t>。强化应急救援设备日常检修与维护，确保装备始终处于备战状态，突发事件发生时能及时到位，为快速有效处置突发事件提供必需的保障。</w:t>
      </w:r>
    </w:p>
    <w:p>
      <w:pPr>
        <w:widowControl/>
        <w:ind w:firstLine="622"/>
      </w:pPr>
      <w:r>
        <w:rPr>
          <w:rFonts w:hint="eastAsia" w:ascii="仿宋" w:hAnsi="仿宋" w:cs="仿宋"/>
          <w:b/>
          <w:bCs/>
          <w:color w:val="000000"/>
          <w:kern w:val="0"/>
          <w:sz w:val="31"/>
          <w:szCs w:val="31"/>
          <w:lang w:bidi="ar"/>
        </w:rPr>
        <w:t>应急物资储备库（点）建设。</w:t>
      </w:r>
      <w:r>
        <w:rPr>
          <w:rFonts w:hint="eastAsia" w:ascii="仿宋" w:hAnsi="仿宋" w:cs="仿宋"/>
          <w:color w:val="000000"/>
          <w:kern w:val="0"/>
          <w:sz w:val="31"/>
          <w:szCs w:val="31"/>
          <w:lang w:bidi="ar"/>
        </w:rPr>
        <w:t>一是</w:t>
      </w:r>
      <w:r>
        <w:rPr>
          <w:rFonts w:hint="eastAsia" w:ascii="仿宋" w:hAnsi="仿宋" w:cs="仿宋"/>
          <w:b/>
          <w:bCs/>
          <w:color w:val="000000"/>
          <w:kern w:val="0"/>
          <w:sz w:val="31"/>
          <w:szCs w:val="31"/>
          <w:lang w:bidi="ar"/>
        </w:rPr>
        <w:t>优化应急物资储备库（点）建设。</w:t>
      </w:r>
      <w:r>
        <w:rPr>
          <w:rFonts w:hint="eastAsia" w:ascii="仿宋" w:hAnsi="仿宋" w:cs="仿宋"/>
          <w:color w:val="000000"/>
          <w:kern w:val="0"/>
          <w:sz w:val="31"/>
          <w:szCs w:val="31"/>
          <w:lang w:bidi="ar"/>
        </w:rPr>
        <w:t>按照“总体规划、分批分次、定期替换”的原则，创新在中心镇（东山镇）和副中心镇（石湍镇）建立中心库，在回澜镇、通旅镇和双河场乡建立重点库，11个中心村建立基本库，其他一般村建立保障点，形成应急物资储备“2+3+11+N”体系，构建中心库片区全面覆盖、重点库区域覆盖、基本库定点覆盖的“半小时保障圈”。二是</w:t>
      </w:r>
      <w:r>
        <w:rPr>
          <w:rFonts w:hint="eastAsia" w:ascii="仿宋" w:hAnsi="仿宋" w:cs="仿宋"/>
          <w:b/>
          <w:bCs/>
          <w:color w:val="000000"/>
          <w:kern w:val="0"/>
          <w:sz w:val="31"/>
          <w:szCs w:val="31"/>
          <w:lang w:bidi="ar"/>
        </w:rPr>
        <w:t>加强应急物资储备库（点）管理。</w:t>
      </w:r>
      <w:r>
        <w:rPr>
          <w:rFonts w:hint="eastAsia" w:ascii="仿宋" w:hAnsi="仿宋" w:cs="仿宋"/>
          <w:color w:val="000000"/>
          <w:kern w:val="0"/>
          <w:sz w:val="31"/>
          <w:szCs w:val="31"/>
          <w:lang w:bidi="ar"/>
        </w:rPr>
        <w:t>做好救灾物资安全、规范管理，要经常性开展无遗漏、无死角、全覆盖的储备库（点）安全隐患排查排除工作。同时，要有序推进储备库（点）日常管理规范化建设，做好盘库清库、物资出入库登记录入，确保账物相符、系统台账更新及时。要定期检查物资的保养维护、有无超期储存积压、损坏变质等问题，做到分类堆码、标牌完善、整齐有序、库房整洁，确保救灾物资备得足、调得动、运得出、用得上。</w:t>
      </w:r>
    </w:p>
    <w:p>
      <w:pPr>
        <w:widowControl/>
        <w:ind w:firstLine="622"/>
        <w:rPr>
          <w:rFonts w:ascii="仿宋" w:hAnsi="仿宋" w:cs="仿宋"/>
          <w:color w:val="000000"/>
          <w:kern w:val="0"/>
          <w:sz w:val="31"/>
          <w:szCs w:val="31"/>
          <w:lang w:bidi="ar"/>
        </w:rPr>
      </w:pPr>
      <w:r>
        <w:rPr>
          <w:rFonts w:hint="eastAsia" w:ascii="仿宋" w:hAnsi="仿宋" w:cs="仿宋"/>
          <w:b/>
          <w:bCs/>
          <w:color w:val="000000"/>
          <w:kern w:val="0"/>
          <w:sz w:val="31"/>
          <w:szCs w:val="31"/>
          <w:lang w:bidi="ar"/>
        </w:rPr>
        <w:t>应急避难场所建设。</w:t>
      </w:r>
      <w:r>
        <w:rPr>
          <w:rFonts w:hint="eastAsia" w:ascii="仿宋" w:hAnsi="仿宋" w:cs="仿宋"/>
          <w:color w:val="000000"/>
          <w:kern w:val="0"/>
          <w:sz w:val="31"/>
          <w:szCs w:val="31"/>
          <w:lang w:bidi="ar"/>
        </w:rPr>
        <w:t>一是推进片区内应急避难场所标准化建设，逐步建设应急通道、供水供电系统、通信系统、物资储备、应急公厕、垃圾收集点、应急公厕等标准设施设备。二是摸清片区乡镇上所有学校、医院、广场等公共场所以及的可避难面积，将避难面积达100m</w:t>
      </w:r>
      <w:r>
        <w:rPr>
          <w:rFonts w:hint="eastAsia" w:ascii="仿宋" w:hAnsi="仿宋" w:cs="仿宋"/>
          <w:color w:val="000000"/>
          <w:kern w:val="0"/>
          <w:sz w:val="31"/>
          <w:szCs w:val="31"/>
          <w:vertAlign w:val="superscript"/>
          <w:lang w:bidi="ar"/>
        </w:rPr>
        <w:t>2</w:t>
      </w:r>
      <w:r>
        <w:rPr>
          <w:rFonts w:hint="eastAsia" w:ascii="仿宋" w:hAnsi="仿宋" w:cs="仿宋"/>
          <w:color w:val="000000"/>
          <w:kern w:val="0"/>
          <w:sz w:val="31"/>
          <w:szCs w:val="31"/>
          <w:lang w:bidi="ar"/>
        </w:rPr>
        <w:t>以上的公共场所纳入进应急避难场所，并按照标准设置各类指示牌、功能分区指示牌，以及其他配套设施，实现人均避难场所达到1.5m</w:t>
      </w:r>
      <w:r>
        <w:rPr>
          <w:rFonts w:hint="eastAsia" w:ascii="仿宋" w:hAnsi="仿宋" w:cs="仿宋"/>
          <w:color w:val="000000"/>
          <w:kern w:val="0"/>
          <w:sz w:val="31"/>
          <w:szCs w:val="31"/>
          <w:vertAlign w:val="superscript"/>
          <w:lang w:bidi="ar"/>
        </w:rPr>
        <w:t>2</w:t>
      </w:r>
      <w:r>
        <w:rPr>
          <w:rFonts w:hint="eastAsia" w:ascii="仿宋" w:hAnsi="仿宋" w:cs="仿宋"/>
          <w:color w:val="000000"/>
          <w:kern w:val="0"/>
          <w:sz w:val="31"/>
          <w:szCs w:val="31"/>
          <w:lang w:bidi="ar"/>
        </w:rPr>
        <w:t>以上。三是推进地灾、森林火灾易发村（社区）避险转移安置点标准化建设。四是加强避灾场所日常巡查和管理，配齐配全应急救灾物资，严格落实人员转移安置防控措施，加强场所卫生消毒，做好避灾安置场所用火、用电等安全防范工作，落实落细保洁、通风消毒，台账等工作。</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rPr>
                <w:b/>
                <w:bCs/>
              </w:rPr>
            </w:pPr>
            <w:r>
              <w:rPr>
                <w:rFonts w:hint="eastAsia"/>
                <w:b/>
                <w:bCs/>
              </w:rPr>
              <w:t>专栏四  应急能力建设工程</w:t>
            </w:r>
          </w:p>
          <w:p>
            <w:pPr>
              <w:pStyle w:val="4"/>
              <w:jc w:val="both"/>
            </w:pPr>
            <w:r>
              <w:rPr>
                <w:rFonts w:hint="eastAsia"/>
              </w:rPr>
              <w:t>（一）消防救援站建设工程</w:t>
            </w:r>
          </w:p>
          <w:p>
            <w:pPr>
              <w:pStyle w:val="4"/>
              <w:jc w:val="both"/>
            </w:pPr>
            <w:r>
              <w:rPr>
                <w:rFonts w:hint="eastAsia"/>
              </w:rPr>
              <w:t>建设内容：在中心镇东山镇建立中心消防救援站，按照15-25人专职队伍、2-4台消防车的标准，并配备其他消防器材。</w:t>
            </w:r>
          </w:p>
          <w:p>
            <w:pPr>
              <w:jc w:val="both"/>
            </w:pPr>
            <w:r>
              <w:rPr>
                <w:rFonts w:hint="eastAsia"/>
              </w:rPr>
              <w:t>项目功能：增强应急救援力量建设。</w:t>
            </w:r>
          </w:p>
          <w:p>
            <w:pPr>
              <w:pStyle w:val="4"/>
              <w:jc w:val="both"/>
            </w:pPr>
            <w:r>
              <w:rPr>
                <w:rFonts w:hint="eastAsia"/>
              </w:rPr>
              <w:t>建设地点：东山镇</w:t>
            </w:r>
          </w:p>
          <w:p>
            <w:pPr>
              <w:pStyle w:val="4"/>
              <w:jc w:val="both"/>
            </w:pPr>
            <w:r>
              <w:rPr>
                <w:rFonts w:hint="eastAsia"/>
              </w:rPr>
              <w:t>用地范围：利旧</w:t>
            </w:r>
          </w:p>
          <w:p>
            <w:pPr>
              <w:pStyle w:val="4"/>
              <w:jc w:val="both"/>
            </w:pPr>
            <w:r>
              <w:rPr>
                <w:rFonts w:hint="eastAsia"/>
              </w:rPr>
              <w:t>责任部门：县消防救援大队</w:t>
            </w:r>
          </w:p>
          <w:p>
            <w:pPr>
              <w:pStyle w:val="4"/>
              <w:jc w:val="both"/>
            </w:pPr>
            <w:r>
              <w:rPr>
                <w:rFonts w:hint="eastAsia"/>
              </w:rPr>
              <w:t>完成期限：2035年前</w:t>
            </w:r>
          </w:p>
          <w:p>
            <w:pPr>
              <w:pStyle w:val="4"/>
              <w:jc w:val="both"/>
              <w:rPr>
                <w:rFonts w:hint="eastAsia"/>
              </w:rPr>
            </w:pPr>
            <w:r>
              <w:rPr>
                <w:rFonts w:hint="eastAsia"/>
              </w:rPr>
              <w:t>经费估算：1000万元</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（二 ）应急物资储备库（点）建设工程</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建设内容：改建/扩建各乡镇应急物资储备库、村（社区）应急物资储备点.</w:t>
            </w:r>
          </w:p>
          <w:p>
            <w:pPr>
              <w:pStyle w:val="5"/>
              <w:jc w:val="both"/>
              <w:rPr>
                <w:rFonts w:ascii="Times New Roman" w:hAnsi="Times New Roman" w:eastAsia="仿宋" w:cs="Times New Roman"/>
                <w:sz w:val="32"/>
                <w:szCs w:val="24"/>
              </w:rPr>
            </w:pPr>
            <w:r>
              <w:rPr>
                <w:rFonts w:hint="eastAsia" w:ascii="Times New Roman" w:hAnsi="Times New Roman" w:eastAsia="仿宋" w:cs="Times New Roman"/>
                <w:sz w:val="32"/>
                <w:szCs w:val="24"/>
              </w:rPr>
              <w:t>项目功能：分批次有计划配备必要应急物资，形成应急物资储备“2+3+11+N”体系，构建中心库片区全面覆盖、重点库区域覆盖、基本库定点覆盖的“半小时保障圈”。</w:t>
            </w:r>
          </w:p>
          <w:p>
            <w:pPr>
              <w:pStyle w:val="4"/>
              <w:jc w:val="both"/>
            </w:pPr>
            <w:r>
              <w:rPr>
                <w:rFonts w:hint="eastAsia"/>
              </w:rPr>
              <w:t>建设地点：各乡镇政府、各村（社区）。</w:t>
            </w:r>
          </w:p>
          <w:p>
            <w:pPr>
              <w:jc w:val="both"/>
            </w:pPr>
            <w:r>
              <w:rPr>
                <w:rFonts w:hint="eastAsia"/>
              </w:rPr>
              <w:t>用地范围：利旧</w:t>
            </w:r>
          </w:p>
          <w:p>
            <w:pPr>
              <w:pStyle w:val="4"/>
              <w:jc w:val="both"/>
            </w:pPr>
            <w:r>
              <w:rPr>
                <w:rFonts w:hint="eastAsia"/>
              </w:rPr>
              <w:t>责任部门：县应急管理局、各乡镇、各村（社区）。</w:t>
            </w:r>
          </w:p>
          <w:p>
            <w:pPr>
              <w:jc w:val="both"/>
            </w:pPr>
            <w:r>
              <w:rPr>
                <w:rFonts w:hint="eastAsia"/>
              </w:rPr>
              <w:t>完成期限：2025年前</w:t>
            </w:r>
          </w:p>
          <w:p>
            <w:pPr>
              <w:jc w:val="both"/>
            </w:pPr>
            <w:r>
              <w:rPr>
                <w:rFonts w:hint="eastAsia"/>
              </w:rPr>
              <w:t>经费估算：100万元</w:t>
            </w:r>
          </w:p>
          <w:p>
            <w:pPr>
              <w:pStyle w:val="4"/>
              <w:jc w:val="both"/>
            </w:pPr>
          </w:p>
          <w:p>
            <w:pPr>
              <w:pStyle w:val="4"/>
              <w:jc w:val="both"/>
            </w:pPr>
            <w:r>
              <w:rPr>
                <w:rFonts w:hint="eastAsia"/>
              </w:rPr>
              <w:t>（三）应急避难场所标准化建设工程</w:t>
            </w:r>
          </w:p>
          <w:p>
            <w:pPr>
              <w:widowControl/>
              <w:ind w:firstLine="620"/>
              <w:jc w:val="left"/>
              <w:rPr>
                <w:rFonts w:ascii="仿宋" w:hAnsi="仿宋" w:cs="仿宋"/>
                <w:color w:val="000000"/>
                <w:kern w:val="0"/>
                <w:sz w:val="31"/>
                <w:szCs w:val="31"/>
                <w:lang w:bidi="ar"/>
              </w:rPr>
            </w:pPr>
            <w:r>
              <w:rPr>
                <w:rFonts w:hint="eastAsia" w:ascii="仿宋" w:hAnsi="仿宋" w:cs="仿宋"/>
                <w:color w:val="000000"/>
                <w:kern w:val="0"/>
                <w:sz w:val="31"/>
                <w:szCs w:val="31"/>
                <w:lang w:bidi="ar"/>
              </w:rPr>
              <w:t>建设内容：对片区内已有的6个应急避难场所逐步建设应急通道、供水供电系统、通信系统、物资储备、应急公厕、垃圾收集点、应急公厕等标准设施设备。利用片区内其余学校、医院、广场等公共场所，新增标准化应急避难场所。</w:t>
            </w:r>
          </w:p>
          <w:p>
            <w:pPr>
              <w:widowControl/>
              <w:ind w:firstLine="620"/>
              <w:jc w:val="left"/>
              <w:rPr>
                <w:rFonts w:ascii="仿宋" w:hAnsi="仿宋" w:cs="仿宋"/>
                <w:color w:val="000000"/>
                <w:kern w:val="0"/>
                <w:sz w:val="31"/>
                <w:szCs w:val="31"/>
                <w:lang w:bidi="ar"/>
              </w:rPr>
            </w:pPr>
            <w:r>
              <w:rPr>
                <w:rFonts w:hint="eastAsia" w:ascii="仿宋" w:hAnsi="仿宋" w:cs="仿宋"/>
                <w:color w:val="000000"/>
                <w:kern w:val="0"/>
                <w:sz w:val="31"/>
                <w:szCs w:val="31"/>
                <w:lang w:bidi="ar"/>
              </w:rPr>
              <w:t>项目功能：实现片区人均避难场所达到1m</w:t>
            </w:r>
            <w:r>
              <w:rPr>
                <w:rFonts w:hint="eastAsia" w:ascii="仿宋" w:hAnsi="仿宋" w:cs="仿宋"/>
                <w:color w:val="000000"/>
                <w:kern w:val="0"/>
                <w:sz w:val="31"/>
                <w:szCs w:val="31"/>
                <w:vertAlign w:val="superscript"/>
                <w:lang w:bidi="ar"/>
              </w:rPr>
              <w:t>2</w:t>
            </w:r>
            <w:r>
              <w:rPr>
                <w:rFonts w:hint="eastAsia" w:ascii="仿宋" w:hAnsi="仿宋" w:cs="仿宋"/>
                <w:color w:val="000000"/>
                <w:kern w:val="0"/>
                <w:sz w:val="31"/>
                <w:szCs w:val="31"/>
                <w:lang w:bidi="ar"/>
              </w:rPr>
              <w:t>。利用村（社区）已有空地建设标准化避险安置点，保障地灾易发、森林火灾重点和较重点区域所在村（社区）群众紧急转移安置。</w:t>
            </w:r>
          </w:p>
          <w:p>
            <w:pPr>
              <w:pStyle w:val="4"/>
              <w:ind w:firstLine="620"/>
              <w:jc w:val="both"/>
              <w:rPr>
                <w:rFonts w:ascii="仿宋" w:hAnsi="仿宋" w:cs="仿宋"/>
                <w:color w:val="000000"/>
                <w:kern w:val="0"/>
                <w:sz w:val="31"/>
                <w:szCs w:val="31"/>
                <w:lang w:bidi="ar"/>
              </w:rPr>
            </w:pPr>
            <w:r>
              <w:rPr>
                <w:rFonts w:hint="eastAsia" w:ascii="仿宋" w:hAnsi="仿宋" w:cs="仿宋"/>
                <w:color w:val="000000"/>
                <w:kern w:val="0"/>
                <w:sz w:val="31"/>
                <w:szCs w:val="31"/>
                <w:lang w:bidi="ar"/>
              </w:rPr>
              <w:t>建设地点：东山镇人民政府广场、回澜镇吴元鑫小学、回澜镇中学、双河场乡文化广场、通旅镇应急避难场所、石湍镇综合应急避难场；场镇上各公共场所；</w:t>
            </w:r>
          </w:p>
          <w:p>
            <w:pPr>
              <w:pStyle w:val="4"/>
              <w:ind w:firstLine="620"/>
              <w:jc w:val="both"/>
              <w:rPr>
                <w:rFonts w:ascii="仿宋" w:hAnsi="仿宋" w:cs="仿宋"/>
                <w:color w:val="000000"/>
                <w:kern w:val="0"/>
                <w:sz w:val="31"/>
                <w:szCs w:val="31"/>
                <w:lang w:bidi="ar"/>
              </w:rPr>
            </w:pPr>
            <w:r>
              <w:rPr>
                <w:rFonts w:hint="eastAsia" w:ascii="仿宋" w:hAnsi="仿宋" w:cs="仿宋"/>
                <w:color w:val="000000"/>
                <w:kern w:val="0"/>
                <w:sz w:val="31"/>
                <w:szCs w:val="31"/>
                <w:lang w:bidi="ar"/>
              </w:rPr>
              <w:t>用地范围：利旧</w:t>
            </w:r>
          </w:p>
          <w:p>
            <w:pPr>
              <w:pStyle w:val="4"/>
              <w:ind w:firstLine="620"/>
              <w:jc w:val="both"/>
              <w:rPr>
                <w:rFonts w:ascii="仿宋" w:hAnsi="仿宋" w:cs="仿宋"/>
                <w:color w:val="000000"/>
                <w:kern w:val="0"/>
                <w:sz w:val="31"/>
                <w:szCs w:val="31"/>
                <w:lang w:bidi="ar"/>
              </w:rPr>
            </w:pPr>
            <w:r>
              <w:rPr>
                <w:rFonts w:hint="eastAsia" w:ascii="仿宋" w:hAnsi="仿宋" w:cs="仿宋"/>
                <w:color w:val="000000"/>
                <w:kern w:val="0"/>
                <w:sz w:val="31"/>
                <w:szCs w:val="31"/>
                <w:lang w:bidi="ar"/>
              </w:rPr>
              <w:t>责任单位：县应急管理局、县自然资源和规划局、各乡镇政府、涉及村（社区）。</w:t>
            </w:r>
          </w:p>
          <w:p>
            <w:pPr>
              <w:pStyle w:val="4"/>
              <w:jc w:val="both"/>
            </w:pPr>
            <w:r>
              <w:rPr>
                <w:rFonts w:hint="eastAsia"/>
              </w:rPr>
              <w:t>完成期限：2035年前</w:t>
            </w:r>
          </w:p>
          <w:p>
            <w:pPr>
              <w:jc w:val="both"/>
            </w:pPr>
            <w:r>
              <w:rPr>
                <w:rFonts w:hint="eastAsia"/>
              </w:rPr>
              <w:t>经费估算：50万元。</w:t>
            </w:r>
          </w:p>
        </w:tc>
      </w:tr>
    </w:tbl>
    <w:p>
      <w:pPr>
        <w:ind w:firstLine="0" w:firstLineChars="0"/>
        <w:jc w:val="center"/>
        <w:outlineLvl w:val="1"/>
        <w:rPr>
          <w:rFonts w:ascii="楷体" w:hAnsi="楷体" w:eastAsia="楷体" w:cs="楷体"/>
        </w:rPr>
      </w:pPr>
      <w:bookmarkStart w:id="36" w:name="_Toc31131"/>
      <w:r>
        <w:rPr>
          <w:rFonts w:hint="eastAsia" w:ascii="楷体" w:hAnsi="楷体" w:eastAsia="楷体" w:cs="楷体"/>
        </w:rPr>
        <w:t>（五）先进技术应用方面</w:t>
      </w:r>
      <w:bookmarkEnd w:id="36"/>
    </w:p>
    <w:p>
      <w:pPr>
        <w:widowControl/>
        <w:ind w:firstLine="620"/>
        <w:rPr>
          <w:rFonts w:ascii="仿宋" w:hAnsi="仿宋" w:cs="仿宋"/>
          <w:color w:val="000000"/>
          <w:kern w:val="0"/>
          <w:sz w:val="31"/>
          <w:szCs w:val="31"/>
          <w:lang w:bidi="ar"/>
        </w:rPr>
      </w:pPr>
      <w:r>
        <w:rPr>
          <w:rFonts w:hint="eastAsia" w:cs="仿宋"/>
          <w:color w:val="000000"/>
          <w:kern w:val="0"/>
          <w:sz w:val="31"/>
          <w:szCs w:val="32"/>
          <w:lang w:bidi="ar"/>
        </w:rPr>
        <w:t>强化业务协同和数据共享，推动东山片区应急管理信息化工作向“数智应急”迈进。按照国产自主可控原则，采用现代信息等先进技术，建设片区应急指挥中心，配备相关设施、人员，全面加强信息化基础设施建设，实现指挥救援、监测预警、监督管理、决策支持、社会动员和政务管理等功能。强化无线通信系统。全面建立无线通信系统，增强灾害事故信息交流能力。各镇、村（社区）运用广播村村响系统、手机、微信群等信息化手段，搭建指挥网络，并完善指挥机制，构建指挥通联平台，实现信息高效传递。完善卫星通信设备。扩大卫星通信应用范围，确保东山镇、回澜镇、石湍镇、通旅镇、双河场乡各村（社区）配备卫星通信设备并与应急指挥分中心互联，提高重大灾害事故前置指挥分中心和救援现场的通信保障能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ind w:firstLine="0" w:firstLineChars="0"/>
              <w:jc w:val="center"/>
            </w:pPr>
            <w:r>
              <w:rPr>
                <w:rFonts w:hint="eastAsia"/>
                <w:b/>
                <w:bCs/>
              </w:rPr>
              <w:t>专栏五  先进技术应用重点工程</w:t>
            </w:r>
          </w:p>
          <w:p>
            <w:pPr>
              <w:jc w:val="both"/>
            </w:pPr>
            <w:r>
              <w:rPr>
                <w:rFonts w:hint="eastAsia"/>
              </w:rPr>
              <w:t>（一）应急广播建设工程。</w:t>
            </w:r>
          </w:p>
          <w:p>
            <w:pPr>
              <w:pStyle w:val="4"/>
              <w:spacing w:after="0"/>
              <w:jc w:val="both"/>
            </w:pPr>
            <w:r>
              <w:rPr>
                <w:rFonts w:hint="eastAsia"/>
              </w:rPr>
              <w:t>建设内容：按标准化建设应急广播站70个，建设应急广播指挥调度系统、制作播出系统、信息安全系统以及备份系统，实现区域广播通话网络全覆盖、无死角。</w:t>
            </w:r>
          </w:p>
          <w:p>
            <w:pPr>
              <w:pStyle w:val="4"/>
              <w:spacing w:after="0"/>
              <w:jc w:val="both"/>
            </w:pPr>
            <w:r>
              <w:rPr>
                <w:rFonts w:hint="eastAsia"/>
              </w:rPr>
              <w:t>项目功能：搭建指挥网络，并完善指挥机制，构建指挥通联平台，应急通信保障到位，实现信息高效传递。</w:t>
            </w:r>
          </w:p>
          <w:p>
            <w:pPr>
              <w:jc w:val="both"/>
            </w:pPr>
            <w:r>
              <w:rPr>
                <w:rFonts w:hint="eastAsia"/>
              </w:rPr>
              <w:t>建设地点：片区各乡镇、村（社区）广播点</w:t>
            </w:r>
          </w:p>
          <w:p>
            <w:pPr>
              <w:pStyle w:val="4"/>
              <w:spacing w:after="0"/>
              <w:jc w:val="both"/>
            </w:pPr>
            <w:r>
              <w:rPr>
                <w:rFonts w:hint="eastAsia"/>
              </w:rPr>
              <w:t>用地范围：无新占地</w:t>
            </w:r>
          </w:p>
          <w:p>
            <w:pPr>
              <w:jc w:val="both"/>
            </w:pPr>
            <w:r>
              <w:rPr>
                <w:rFonts w:hint="eastAsia"/>
              </w:rPr>
              <w:t>责任单位：县应急局、片区各乡镇政府。</w:t>
            </w:r>
          </w:p>
          <w:p>
            <w:pPr>
              <w:pStyle w:val="4"/>
              <w:jc w:val="both"/>
            </w:pPr>
            <w:r>
              <w:rPr>
                <w:rFonts w:hint="eastAsia"/>
              </w:rPr>
              <w:t>完成期限：2025年前</w:t>
            </w:r>
          </w:p>
          <w:p>
            <w:pPr>
              <w:jc w:val="both"/>
            </w:pPr>
            <w:r>
              <w:rPr>
                <w:rFonts w:hint="eastAsia"/>
              </w:rPr>
              <w:t>经费估算：50万元</w:t>
            </w:r>
          </w:p>
        </w:tc>
      </w:tr>
    </w:tbl>
    <w:p>
      <w:pPr>
        <w:ind w:firstLine="0" w:firstLineChars="0"/>
        <w:jc w:val="center"/>
        <w:outlineLvl w:val="1"/>
        <w:rPr>
          <w:rFonts w:ascii="楷体" w:hAnsi="楷体" w:eastAsia="楷体" w:cs="楷体"/>
        </w:rPr>
      </w:pPr>
      <w:bookmarkStart w:id="37" w:name="_Toc8383"/>
      <w:r>
        <w:rPr>
          <w:rFonts w:hint="eastAsia" w:ascii="楷体" w:hAnsi="楷体" w:eastAsia="楷体" w:cs="楷体"/>
        </w:rPr>
        <w:t>（六）应急管理共建共治共享方面</w:t>
      </w:r>
      <w:bookmarkEnd w:id="37"/>
    </w:p>
    <w:p>
      <w:pPr>
        <w:widowControl/>
        <w:ind w:firstLine="622"/>
        <w:rPr>
          <w:rFonts w:cs="仿宋"/>
          <w:color w:val="000000"/>
          <w:kern w:val="0"/>
          <w:sz w:val="31"/>
          <w:szCs w:val="32"/>
          <w:lang w:bidi="ar"/>
        </w:rPr>
      </w:pPr>
      <w:r>
        <w:rPr>
          <w:rFonts w:hint="eastAsia" w:cs="仿宋"/>
          <w:b/>
          <w:bCs/>
          <w:color w:val="000000"/>
          <w:kern w:val="0"/>
          <w:sz w:val="31"/>
          <w:szCs w:val="32"/>
          <w:lang w:bidi="ar"/>
        </w:rPr>
        <w:t>一是加强文化宣传教育。</w:t>
      </w:r>
      <w:r>
        <w:rPr>
          <w:rFonts w:hint="eastAsia" w:cs="仿宋"/>
          <w:color w:val="000000"/>
          <w:kern w:val="0"/>
          <w:sz w:val="31"/>
          <w:szCs w:val="32"/>
          <w:lang w:bidi="ar"/>
        </w:rPr>
        <w:t>深入推进安全宣传进企业、进农村、进社区、进学校、进家庭，提高公众防灾避险意识和自救互救能力。结合防灾减灾日、安全生产月、消防宣传月等重要节点，开展“应急科普进万家”等活动，组织公众开展急救培训及演练，努力实现“人人懂安全，家家会急救”。深入开展“新安法”普法宣传、应急管理“八五”普法工作，加强生产安全事故典型案例、森林防灭火典型违法案件警示教育。充分利用微博、微信、短视频、VR等新手段加强公益宣传，普及安全知识，强化应急意识。</w:t>
      </w:r>
      <w:r>
        <w:rPr>
          <w:rFonts w:hint="eastAsia" w:cs="仿宋"/>
          <w:b/>
          <w:bCs/>
          <w:color w:val="000000"/>
          <w:kern w:val="0"/>
          <w:sz w:val="31"/>
          <w:szCs w:val="32"/>
          <w:lang w:bidi="ar"/>
        </w:rPr>
        <w:t>二是完善社会协同机制。</w:t>
      </w:r>
      <w:r>
        <w:rPr>
          <w:rFonts w:hint="eastAsia" w:cs="仿宋"/>
          <w:color w:val="000000"/>
          <w:kern w:val="0"/>
          <w:sz w:val="31"/>
          <w:szCs w:val="32"/>
          <w:lang w:bidi="ar"/>
        </w:rPr>
        <w:t>推进社会治理协同机制建设，增强协同合作理念，完善协同运行机制，加强社会组织建设。建设防灾减灾文化示范村（社区），打造企业安全宣传教育示范点。构建以政府为主导、全社会广泛参与的应急动员格局。完善社区动员、社会救助、社会福利、社会事务、社会力量的“五社”联动机制，引导社会公众积极参与突发事件应对工作。继续推行安全生产责任保险，完善安全风险分担机制。完善安全生产举报奖励制度，筑牢安全生产人民防线。</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rPr>
                <w:b/>
                <w:bCs/>
              </w:rPr>
            </w:pPr>
            <w:bookmarkStart w:id="38" w:name="_Toc7490"/>
            <w:r>
              <w:rPr>
                <w:rFonts w:hint="eastAsia"/>
                <w:b/>
                <w:bCs/>
              </w:rPr>
              <w:t>专栏六  共建共治共享重点工程</w:t>
            </w:r>
          </w:p>
          <w:p>
            <w:pPr>
              <w:jc w:val="both"/>
            </w:pPr>
            <w:r>
              <w:rPr>
                <w:rFonts w:hint="eastAsia"/>
              </w:rPr>
              <w:t>（一）应急科普进万家工程。</w:t>
            </w:r>
          </w:p>
          <w:p>
            <w:pPr>
              <w:spacing w:line="590" w:lineRule="exact"/>
              <w:jc w:val="both"/>
            </w:pPr>
            <w:r>
              <w:rPr>
                <w:rFonts w:hint="eastAsia"/>
              </w:rPr>
              <w:t>建设内容：</w:t>
            </w:r>
            <w:r>
              <w:rPr>
                <w:rFonts w:ascii="宋体" w:hAnsi="宋体" w:eastAsia="方正仿宋_GBK" w:cs="方正仿宋_GBK"/>
                <w:sz w:val="33"/>
                <w:szCs w:val="33"/>
              </w:rPr>
              <w:t>按照“乡镇建站、村社设点”的原则，</w:t>
            </w:r>
            <w:r>
              <w:rPr>
                <w:rFonts w:hint="eastAsia" w:ascii="宋体" w:hAnsi="宋体" w:eastAsia="方正仿宋_GBK" w:cs="方正仿宋_GBK"/>
                <w:sz w:val="33"/>
                <w:szCs w:val="33"/>
              </w:rPr>
              <w:t>5</w:t>
            </w:r>
            <w:r>
              <w:rPr>
                <w:rFonts w:ascii="宋体" w:hAnsi="宋体" w:eastAsia="方正仿宋_GBK" w:cs="方正仿宋_GBK"/>
                <w:sz w:val="33"/>
                <w:szCs w:val="33"/>
              </w:rPr>
              <w:t>个乡镇要有</w:t>
            </w:r>
            <w:r>
              <w:rPr>
                <w:rFonts w:hint="eastAsia" w:ascii="宋体" w:hAnsi="宋体" w:eastAsia="方正仿宋_GBK" w:cs="方正仿宋_GBK"/>
                <w:sz w:val="33"/>
                <w:szCs w:val="33"/>
              </w:rPr>
              <w:t>应急</w:t>
            </w:r>
            <w:r>
              <w:rPr>
                <w:rFonts w:ascii="宋体" w:hAnsi="宋体" w:eastAsia="方正仿宋_GBK" w:cs="方正仿宋_GBK"/>
                <w:sz w:val="33"/>
                <w:szCs w:val="33"/>
              </w:rPr>
              <w:t>宣传站、</w:t>
            </w:r>
            <w:r>
              <w:rPr>
                <w:rFonts w:hint="eastAsia" w:ascii="宋体" w:hAnsi="宋体" w:eastAsia="方正仿宋_GBK" w:cs="方正仿宋_GBK"/>
                <w:sz w:val="33"/>
                <w:szCs w:val="33"/>
              </w:rPr>
              <w:t>70</w:t>
            </w:r>
            <w:r>
              <w:rPr>
                <w:rFonts w:ascii="宋体" w:hAnsi="宋体" w:eastAsia="方正仿宋_GBK" w:cs="方正仿宋_GBK"/>
                <w:sz w:val="33"/>
                <w:szCs w:val="33"/>
              </w:rPr>
              <w:t>个村（社区）要有</w:t>
            </w:r>
            <w:r>
              <w:rPr>
                <w:rFonts w:hint="eastAsia" w:ascii="宋体" w:hAnsi="宋体" w:eastAsia="方正仿宋_GBK" w:cs="方正仿宋_GBK"/>
                <w:sz w:val="33"/>
                <w:szCs w:val="33"/>
              </w:rPr>
              <w:t>应急</w:t>
            </w:r>
            <w:r>
              <w:rPr>
                <w:rFonts w:ascii="宋体" w:hAnsi="宋体" w:eastAsia="方正仿宋_GBK" w:cs="方正仿宋_GBK"/>
                <w:sz w:val="33"/>
                <w:szCs w:val="33"/>
              </w:rPr>
              <w:t>宣传点</w:t>
            </w:r>
            <w:r>
              <w:rPr>
                <w:rFonts w:hint="eastAsia" w:ascii="宋体" w:hAnsi="宋体" w:eastAsia="方正仿宋_GBK" w:cs="方正仿宋_GBK"/>
                <w:sz w:val="33"/>
                <w:szCs w:val="33"/>
              </w:rPr>
              <w:t>。</w:t>
            </w:r>
            <w:r>
              <w:rPr>
                <w:rFonts w:hint="eastAsia"/>
              </w:rPr>
              <w:t>增加应急知识科普书籍、应急管理时事资讯等。各乡镇利用防灾减灾日、安全生产月、消防宣传月等重要节点组织开展应急知识培训、竞赛类活动，通过活动分发家庭版应急救援包</w:t>
            </w:r>
            <w:r>
              <w:rPr>
                <w:rFonts w:ascii="宋体" w:hAnsi="宋体" w:eastAsia="方正仿宋_GBK" w:cs="方正仿宋_GBK"/>
                <w:sz w:val="33"/>
                <w:szCs w:val="33"/>
              </w:rPr>
              <w:t>。</w:t>
            </w:r>
          </w:p>
          <w:p>
            <w:pPr>
              <w:pStyle w:val="4"/>
              <w:spacing w:after="0"/>
              <w:jc w:val="both"/>
            </w:pPr>
            <w:r>
              <w:rPr>
                <w:rFonts w:hint="eastAsia"/>
              </w:rPr>
              <w:t>项目功能：</w:t>
            </w:r>
            <w:r>
              <w:rPr>
                <w:rFonts w:ascii="宋体" w:hAnsi="宋体" w:eastAsia="方正仿宋_GBK" w:cs="方正仿宋_GBK"/>
                <w:sz w:val="33"/>
                <w:szCs w:val="33"/>
              </w:rPr>
              <w:t>实现组织机构、人员队伍、处置流程、风险分布、物资台账、包联清单等“六要件”挂图上墙，具备现场演示、资料发放、现场解说、视频推送等宣传教育功能</w:t>
            </w:r>
            <w:r>
              <w:rPr>
                <w:rFonts w:hint="eastAsia" w:ascii="宋体" w:hAnsi="宋体" w:eastAsia="方正仿宋_GBK" w:cs="方正仿宋_GBK"/>
                <w:sz w:val="33"/>
                <w:szCs w:val="33"/>
              </w:rPr>
              <w:t>。</w:t>
            </w:r>
            <w:r>
              <w:rPr>
                <w:rFonts w:hint="eastAsia"/>
              </w:rPr>
              <w:t>努力实现人人懂安全，家家会急救的愿景，此举功在当代，利在千秋。</w:t>
            </w:r>
          </w:p>
          <w:p>
            <w:pPr>
              <w:jc w:val="both"/>
            </w:pPr>
            <w:r>
              <w:rPr>
                <w:rFonts w:hint="eastAsia"/>
              </w:rPr>
              <w:t>建设地点：乐至县东山林业蚕桑融合发展片区</w:t>
            </w:r>
          </w:p>
          <w:p>
            <w:pPr>
              <w:pStyle w:val="4"/>
              <w:spacing w:after="0"/>
              <w:jc w:val="both"/>
            </w:pPr>
            <w:r>
              <w:rPr>
                <w:rFonts w:hint="eastAsia"/>
              </w:rPr>
              <w:t>用地范围：无新占地</w:t>
            </w:r>
          </w:p>
          <w:p>
            <w:pPr>
              <w:jc w:val="both"/>
            </w:pPr>
            <w:r>
              <w:rPr>
                <w:rFonts w:hint="eastAsia"/>
              </w:rPr>
              <w:t>责任单位：县应急管理局、各乡镇政府</w:t>
            </w:r>
          </w:p>
          <w:p>
            <w:pPr>
              <w:pStyle w:val="4"/>
              <w:jc w:val="both"/>
            </w:pPr>
            <w:r>
              <w:rPr>
                <w:rFonts w:hint="eastAsia"/>
              </w:rPr>
              <w:t>完成期限：2035年前</w:t>
            </w:r>
          </w:p>
          <w:p>
            <w:pPr>
              <w:jc w:val="both"/>
            </w:pPr>
            <w:r>
              <w:rPr>
                <w:rFonts w:hint="eastAsia"/>
              </w:rPr>
              <w:t>经费估算：50万元</w:t>
            </w:r>
          </w:p>
          <w:p>
            <w:pPr>
              <w:jc w:val="both"/>
            </w:pPr>
            <w:r>
              <w:rPr>
                <w:rFonts w:hint="eastAsia"/>
              </w:rPr>
              <w:t>（二）基层应急治理示范工程。</w:t>
            </w:r>
          </w:p>
          <w:p>
            <w:pPr>
              <w:pStyle w:val="4"/>
              <w:spacing w:after="0"/>
              <w:jc w:val="both"/>
              <w:rPr>
                <w:rFonts w:ascii="仿宋" w:hAnsi="仿宋" w:cs="仿宋"/>
                <w:color w:val="000000"/>
                <w:kern w:val="0"/>
                <w:sz w:val="31"/>
                <w:szCs w:val="31"/>
                <w:lang w:bidi="ar"/>
              </w:rPr>
            </w:pPr>
            <w:r>
              <w:rPr>
                <w:rFonts w:hint="eastAsia"/>
              </w:rPr>
              <w:t>建设内容：争创全国综合减灾示范社区1个</w:t>
            </w:r>
            <w:r>
              <w:rPr>
                <w:rFonts w:hint="eastAsia" w:ascii="仿宋" w:hAnsi="仿宋" w:cs="仿宋"/>
                <w:color w:val="000000"/>
                <w:kern w:val="0"/>
                <w:sz w:val="31"/>
                <w:szCs w:val="31"/>
                <w:lang w:bidi="ar"/>
              </w:rPr>
              <w:t>。</w:t>
            </w:r>
          </w:p>
          <w:p>
            <w:pPr>
              <w:jc w:val="both"/>
              <w:rPr>
                <w:rFonts w:hint="eastAsia"/>
                <w:lang w:bidi="ar"/>
              </w:rPr>
            </w:pPr>
            <w:r>
              <w:rPr>
                <w:rFonts w:hint="eastAsia"/>
                <w:lang w:bidi="ar"/>
              </w:rPr>
              <w:t>项目功能：完善基层应急管理体系，建设合格的基层应急治理示范区。</w:t>
            </w:r>
          </w:p>
          <w:p>
            <w:pPr>
              <w:jc w:val="both"/>
            </w:pPr>
            <w:r>
              <w:rPr>
                <w:rFonts w:hint="eastAsia"/>
              </w:rPr>
              <w:t>建设地点：东山镇</w:t>
            </w:r>
          </w:p>
          <w:p>
            <w:pPr>
              <w:pStyle w:val="4"/>
              <w:spacing w:after="0"/>
              <w:jc w:val="both"/>
            </w:pPr>
            <w:r>
              <w:rPr>
                <w:rFonts w:hint="eastAsia"/>
              </w:rPr>
              <w:t>用地范围：无新占地</w:t>
            </w:r>
          </w:p>
          <w:p>
            <w:pPr>
              <w:jc w:val="both"/>
            </w:pPr>
            <w:r>
              <w:rPr>
                <w:rFonts w:hint="eastAsia"/>
              </w:rPr>
              <w:t>责任单位：县应急管理局、片区各乡镇政府</w:t>
            </w:r>
          </w:p>
          <w:p>
            <w:pPr>
              <w:pStyle w:val="4"/>
              <w:jc w:val="both"/>
            </w:pPr>
            <w:r>
              <w:rPr>
                <w:rFonts w:hint="eastAsia"/>
              </w:rPr>
              <w:t>完成期限：2025年前</w:t>
            </w:r>
          </w:p>
          <w:p>
            <w:pPr>
              <w:jc w:val="both"/>
            </w:pPr>
            <w:r>
              <w:rPr>
                <w:rFonts w:hint="eastAsia"/>
              </w:rPr>
              <w:t>经费估算：50万元</w:t>
            </w:r>
          </w:p>
        </w:tc>
      </w:tr>
    </w:tbl>
    <w:p>
      <w:pPr>
        <w:ind w:firstLine="0" w:firstLineChars="0"/>
        <w:rPr>
          <w:rFonts w:ascii="黑体" w:hAnsi="黑体" w:eastAsia="黑体" w:cs="黑体"/>
        </w:rPr>
      </w:pPr>
      <w:bookmarkStart w:id="39" w:name="_Toc2699"/>
      <w:r>
        <w:rPr>
          <w:rFonts w:hint="eastAsia" w:ascii="黑体" w:hAnsi="黑体" w:eastAsia="黑体" w:cs="黑体"/>
        </w:rPr>
        <w:br w:type="page"/>
      </w:r>
    </w:p>
    <w:p>
      <w:pPr>
        <w:ind w:firstLine="0" w:firstLineChars="0"/>
        <w:jc w:val="center"/>
        <w:outlineLvl w:val="0"/>
        <w:rPr>
          <w:rFonts w:ascii="黑体" w:hAnsi="黑体" w:eastAsia="黑体" w:cs="黑体"/>
        </w:rPr>
      </w:pPr>
      <w:r>
        <w:rPr>
          <w:rFonts w:hint="eastAsia" w:ascii="黑体" w:hAnsi="黑体" w:eastAsia="黑体" w:cs="黑体"/>
        </w:rPr>
        <w:t>五、保障措施</w:t>
      </w:r>
      <w:bookmarkEnd w:id="38"/>
      <w:bookmarkEnd w:id="39"/>
    </w:p>
    <w:p>
      <w:pPr>
        <w:pStyle w:val="4"/>
        <w:numPr>
          <w:ilvl w:val="0"/>
          <w:numId w:val="2"/>
        </w:numPr>
        <w:ind w:firstLine="0" w:firstLineChars="0"/>
        <w:jc w:val="center"/>
        <w:outlineLvl w:val="1"/>
        <w:rPr>
          <w:rFonts w:ascii="楷体" w:hAnsi="楷体" w:eastAsia="楷体" w:cs="楷体"/>
        </w:rPr>
      </w:pPr>
      <w:bookmarkStart w:id="40" w:name="_Toc32747"/>
      <w:r>
        <w:rPr>
          <w:rFonts w:hint="eastAsia" w:ascii="楷体" w:hAnsi="楷体" w:eastAsia="楷体" w:cs="楷体"/>
        </w:rPr>
        <w:t>完善组织保障</w:t>
      </w:r>
      <w:bookmarkEnd w:id="40"/>
    </w:p>
    <w:p>
      <w:pPr>
        <w:rPr>
          <w:rFonts w:cs="仿宋"/>
        </w:rPr>
      </w:pPr>
      <w:r>
        <w:rPr>
          <w:rFonts w:hint="eastAsia" w:cs="仿宋"/>
        </w:rPr>
        <w:t>根据本规划要求，严格落实属地责任，将应急管理工作纳入年度工作计划和镇党委重要议程中。加强组织领导，组建以应急部门牵头、相关部门和片区镇参与的领导小组，建立分工协作机制，制定规划实施方案，细化工作分工，加强规划实施与年度计划的衔接，明确规划各项任务的推进计划、时间节点和阶段目标，保证规划实施有序推进，各项任务如期完成。</w:t>
      </w:r>
    </w:p>
    <w:p>
      <w:pPr>
        <w:pStyle w:val="4"/>
        <w:numPr>
          <w:ilvl w:val="0"/>
          <w:numId w:val="2"/>
        </w:numPr>
        <w:ind w:firstLine="0" w:firstLineChars="0"/>
        <w:jc w:val="center"/>
        <w:outlineLvl w:val="1"/>
        <w:rPr>
          <w:rFonts w:ascii="楷体" w:hAnsi="楷体" w:eastAsia="楷体" w:cs="楷体"/>
        </w:rPr>
      </w:pPr>
      <w:bookmarkStart w:id="41" w:name="_Toc22065"/>
      <w:r>
        <w:rPr>
          <w:rFonts w:hint="eastAsia" w:ascii="楷体" w:hAnsi="楷体" w:eastAsia="楷体" w:cs="楷体"/>
        </w:rPr>
        <w:t>强化资金保障</w:t>
      </w:r>
      <w:bookmarkEnd w:id="41"/>
    </w:p>
    <w:p>
      <w:pPr>
        <w:pStyle w:val="4"/>
        <w:rPr>
          <w:rFonts w:cs="仿宋"/>
          <w:szCs w:val="32"/>
        </w:rPr>
      </w:pPr>
      <w:r>
        <w:rPr>
          <w:rFonts w:hint="eastAsia" w:cs="仿宋"/>
          <w:szCs w:val="32"/>
        </w:rPr>
        <w:t>片区各镇要积极争取上级财政支持，充分利用各级拨款，设立应急管理专项账户，并由专人管理。优化资金投入机制，拓宽资金渠道，结合政府应急资金保障机制，健全应对突发事件社会资源依法征用与补偿机制，建立政府、企业、社会结合的多元化投入保障机制，鼓励全社会共同参与。</w:t>
      </w:r>
    </w:p>
    <w:p>
      <w:pPr>
        <w:pStyle w:val="4"/>
        <w:numPr>
          <w:ilvl w:val="0"/>
          <w:numId w:val="2"/>
        </w:numPr>
        <w:ind w:firstLine="0" w:firstLineChars="0"/>
        <w:jc w:val="center"/>
        <w:outlineLvl w:val="1"/>
        <w:rPr>
          <w:rFonts w:ascii="楷体" w:hAnsi="楷体" w:eastAsia="楷体" w:cs="楷体"/>
        </w:rPr>
      </w:pPr>
      <w:bookmarkStart w:id="42" w:name="_Toc1058"/>
      <w:r>
        <w:rPr>
          <w:rFonts w:hint="eastAsia" w:ascii="楷体" w:hAnsi="楷体" w:eastAsia="楷体" w:cs="楷体"/>
        </w:rPr>
        <w:t>加大政策保障</w:t>
      </w:r>
      <w:bookmarkEnd w:id="42"/>
    </w:p>
    <w:p>
      <w:pPr>
        <w:rPr>
          <w:szCs w:val="32"/>
        </w:rPr>
      </w:pPr>
      <w:r>
        <w:rPr>
          <w:rFonts w:hint="eastAsia"/>
          <w:szCs w:val="32"/>
        </w:rPr>
        <w:t>按照省委关于做好两项改革“后半篇”文章部署要求，统筹发展与安全，充分结合相关政策，用好用火增减挂钩、土地综合整治等政策，统筹推进基层应急管理体系和应急能力建设。建立健全规划实施监督评估机制，组织开展规划实施年度监测分析、中期评估和终期评估，将规划设施情况作为对部门和乡镇工作督查、检查和考核评价的重要内容。</w:t>
      </w:r>
    </w:p>
    <w:p>
      <w:pPr>
        <w:pStyle w:val="4"/>
        <w:numPr>
          <w:ilvl w:val="0"/>
          <w:numId w:val="2"/>
        </w:numPr>
        <w:ind w:firstLine="0" w:firstLineChars="0"/>
        <w:jc w:val="center"/>
        <w:outlineLvl w:val="1"/>
        <w:rPr>
          <w:rFonts w:ascii="楷体" w:hAnsi="楷体" w:eastAsia="楷体" w:cs="楷体"/>
        </w:rPr>
      </w:pPr>
      <w:bookmarkStart w:id="43" w:name="_Toc11315"/>
      <w:r>
        <w:rPr>
          <w:rFonts w:hint="eastAsia" w:ascii="楷体" w:hAnsi="楷体" w:eastAsia="楷体" w:cs="楷体"/>
        </w:rPr>
        <w:t>强化督查问效</w:t>
      </w:r>
      <w:bookmarkEnd w:id="43"/>
    </w:p>
    <w:p>
      <w:pPr>
        <w:pStyle w:val="4"/>
        <w:rPr>
          <w:szCs w:val="32"/>
        </w:rPr>
      </w:pPr>
      <w:r>
        <w:rPr>
          <w:rFonts w:hint="eastAsia"/>
          <w:szCs w:val="32"/>
        </w:rPr>
        <w:t>建立健全规划实施的跟踪监管与考核评估制度，强化目标任务管理。片区各镇各部门要严格落实规划实施，并定期评估。加大政务公开力度，增强应急体系建设工作的透明度和公众知情权，广泛征求群众意见，接受群众监督，及时向社会公布进展情况报告。对监督不力、责任落实不到位的，依法严肃追责问责。</w:t>
      </w:r>
    </w:p>
    <w:p>
      <w:pPr>
        <w:pStyle w:val="4"/>
        <w:sectPr>
          <w:footerReference r:id="rId12" w:type="default"/>
          <w:pgSz w:w="11906" w:h="16838"/>
          <w:pgMar w:top="2098" w:right="1474" w:bottom="1984" w:left="1587" w:header="851" w:footer="1134" w:gutter="0"/>
          <w:pgNumType w:start="1"/>
          <w:cols w:space="0" w:num="1"/>
          <w:docGrid w:type="lines" w:linePitch="439" w:charSpace="0"/>
        </w:sectPr>
      </w:pPr>
    </w:p>
    <w:p>
      <w:pPr>
        <w:ind w:firstLine="0" w:firstLineChars="0"/>
        <w:outlineLvl w:val="0"/>
        <w:rPr>
          <w:b/>
          <w:bCs/>
        </w:rPr>
      </w:pPr>
      <w:r>
        <w:rPr>
          <w:rFonts w:hint="eastAsia"/>
          <w:b/>
          <w:bCs/>
        </w:rPr>
        <w:t>附表</w:t>
      </w:r>
    </w:p>
    <w:p>
      <w:pPr>
        <w:pStyle w:val="3"/>
        <w:tabs>
          <w:tab w:val="left" w:pos="312"/>
        </w:tabs>
        <w:ind w:firstLine="0" w:firstLineChars="0"/>
        <w:jc w:val="center"/>
        <w:rPr>
          <w:rFonts w:hint="eastAsia"/>
          <w:b w:val="0"/>
          <w:bCs w:val="0"/>
        </w:rPr>
      </w:pPr>
      <w:r>
        <w:rPr>
          <w:rFonts w:hint="eastAsia"/>
          <w:b w:val="0"/>
          <w:bCs w:val="0"/>
        </w:rPr>
        <w:t>1</w:t>
      </w:r>
      <w:r>
        <w:rPr>
          <w:b w:val="0"/>
          <w:bCs w:val="0"/>
        </w:rPr>
        <w:t xml:space="preserve">. </w:t>
      </w:r>
      <w:r>
        <w:rPr>
          <w:rFonts w:hint="eastAsia"/>
          <w:b w:val="0"/>
          <w:bCs w:val="0"/>
        </w:rPr>
        <w:t>企业风险等级及分布表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4248"/>
        <w:gridCol w:w="2707"/>
        <w:gridCol w:w="2689"/>
        <w:gridCol w:w="946"/>
        <w:gridCol w:w="109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序号</w:t>
            </w:r>
          </w:p>
        </w:tc>
        <w:tc>
          <w:tcPr>
            <w:tcW w:w="0" w:type="auto"/>
          </w:tcPr>
          <w:p>
            <w:pPr>
              <w:pStyle w:val="4"/>
              <w:spacing w:line="0" w:lineRule="atLeast"/>
              <w:ind w:firstLine="0" w:firstLineChars="0"/>
              <w:jc w:val="both"/>
              <w:rPr>
                <w:sz w:val="28"/>
                <w:szCs w:val="22"/>
              </w:rPr>
            </w:pPr>
            <w:r>
              <w:rPr>
                <w:rFonts w:hint="eastAsia"/>
                <w:sz w:val="28"/>
                <w:szCs w:val="22"/>
              </w:rPr>
              <w:t>企业名称</w:t>
            </w:r>
          </w:p>
        </w:tc>
        <w:tc>
          <w:tcPr>
            <w:tcW w:w="0" w:type="auto"/>
          </w:tcPr>
          <w:p>
            <w:pPr>
              <w:pStyle w:val="4"/>
              <w:spacing w:line="0" w:lineRule="atLeast"/>
              <w:ind w:firstLine="0" w:firstLineChars="0"/>
              <w:jc w:val="both"/>
              <w:rPr>
                <w:sz w:val="28"/>
                <w:szCs w:val="22"/>
              </w:rPr>
            </w:pPr>
            <w:r>
              <w:rPr>
                <w:rFonts w:hint="eastAsia"/>
                <w:sz w:val="28"/>
                <w:szCs w:val="22"/>
              </w:rPr>
              <w:t>行业类型</w:t>
            </w:r>
          </w:p>
        </w:tc>
        <w:tc>
          <w:tcPr>
            <w:tcW w:w="0" w:type="auto"/>
          </w:tcPr>
          <w:p>
            <w:pPr>
              <w:pStyle w:val="4"/>
              <w:spacing w:line="0" w:lineRule="atLeast"/>
              <w:ind w:firstLine="0" w:firstLineChars="0"/>
              <w:jc w:val="both"/>
              <w:rPr>
                <w:sz w:val="28"/>
                <w:szCs w:val="22"/>
              </w:rPr>
            </w:pPr>
            <w:r>
              <w:rPr>
                <w:rFonts w:hint="eastAsia"/>
                <w:sz w:val="28"/>
                <w:szCs w:val="22"/>
              </w:rPr>
              <w:t>地址</w:t>
            </w:r>
          </w:p>
        </w:tc>
        <w:tc>
          <w:tcPr>
            <w:tcW w:w="0" w:type="auto"/>
          </w:tcPr>
          <w:p>
            <w:pPr>
              <w:pStyle w:val="4"/>
              <w:spacing w:line="0" w:lineRule="atLeast"/>
              <w:ind w:firstLine="0" w:firstLineChars="0"/>
              <w:jc w:val="both"/>
              <w:rPr>
                <w:sz w:val="28"/>
                <w:szCs w:val="22"/>
              </w:rPr>
            </w:pPr>
            <w:r>
              <w:rPr>
                <w:rFonts w:hint="eastAsia"/>
                <w:sz w:val="28"/>
                <w:szCs w:val="22"/>
              </w:rPr>
              <w:t>风险等级</w:t>
            </w:r>
          </w:p>
        </w:tc>
        <w:tc>
          <w:tcPr>
            <w:tcW w:w="0" w:type="auto"/>
          </w:tcPr>
          <w:p>
            <w:pPr>
              <w:pStyle w:val="4"/>
              <w:spacing w:line="0" w:lineRule="atLeast"/>
              <w:ind w:firstLine="0" w:firstLineChars="0"/>
              <w:jc w:val="both"/>
              <w:rPr>
                <w:sz w:val="28"/>
                <w:szCs w:val="22"/>
              </w:rPr>
            </w:pPr>
            <w:r>
              <w:rPr>
                <w:rFonts w:hint="eastAsia"/>
                <w:sz w:val="28"/>
                <w:szCs w:val="22"/>
              </w:rPr>
              <w:t>生产情况</w:t>
            </w:r>
          </w:p>
        </w:tc>
        <w:tc>
          <w:tcPr>
            <w:tcW w:w="0" w:type="auto"/>
          </w:tcPr>
          <w:p>
            <w:pPr>
              <w:pStyle w:val="4"/>
              <w:spacing w:line="0" w:lineRule="atLeast"/>
              <w:ind w:firstLine="0" w:firstLineChars="0"/>
              <w:jc w:val="both"/>
              <w:rPr>
                <w:sz w:val="28"/>
                <w:szCs w:val="22"/>
              </w:rPr>
            </w:pPr>
            <w:r>
              <w:rPr>
                <w:rFonts w:hint="eastAsia"/>
                <w:sz w:val="28"/>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1</w:t>
            </w:r>
          </w:p>
        </w:tc>
        <w:tc>
          <w:tcPr>
            <w:tcW w:w="0" w:type="auto"/>
          </w:tcPr>
          <w:p>
            <w:pPr>
              <w:pStyle w:val="4"/>
              <w:spacing w:line="0" w:lineRule="atLeast"/>
              <w:ind w:firstLine="0" w:firstLineChars="0"/>
              <w:jc w:val="both"/>
              <w:rPr>
                <w:sz w:val="28"/>
                <w:szCs w:val="22"/>
              </w:rPr>
            </w:pPr>
            <w:r>
              <w:rPr>
                <w:sz w:val="28"/>
                <w:szCs w:val="22"/>
              </w:rPr>
              <w:t>中国石化销售有限公司四川资阳石油分公司昭澜加油站</w:t>
            </w:r>
          </w:p>
        </w:tc>
        <w:tc>
          <w:tcPr>
            <w:tcW w:w="0" w:type="auto"/>
          </w:tcPr>
          <w:p>
            <w:pPr>
              <w:pStyle w:val="4"/>
              <w:spacing w:line="0" w:lineRule="atLeast"/>
              <w:ind w:firstLine="0" w:firstLineChars="0"/>
              <w:jc w:val="both"/>
              <w:rPr>
                <w:sz w:val="28"/>
                <w:szCs w:val="22"/>
              </w:rPr>
            </w:pPr>
            <w:r>
              <w:rPr>
                <w:sz w:val="28"/>
                <w:szCs w:val="22"/>
              </w:rPr>
              <w:t>加油（气）站</w:t>
            </w:r>
          </w:p>
        </w:tc>
        <w:tc>
          <w:tcPr>
            <w:tcW w:w="0" w:type="auto"/>
          </w:tcPr>
          <w:p>
            <w:pPr>
              <w:pStyle w:val="4"/>
              <w:spacing w:line="0" w:lineRule="atLeast"/>
              <w:ind w:firstLine="0" w:firstLineChars="0"/>
              <w:jc w:val="both"/>
              <w:rPr>
                <w:sz w:val="28"/>
                <w:szCs w:val="22"/>
              </w:rPr>
            </w:pPr>
            <w:r>
              <w:rPr>
                <w:sz w:val="28"/>
                <w:szCs w:val="22"/>
              </w:rPr>
              <w:t>乐至县回澜镇万安村四组</w:t>
            </w:r>
          </w:p>
        </w:tc>
        <w:tc>
          <w:tcPr>
            <w:tcW w:w="0" w:type="auto"/>
          </w:tcPr>
          <w:p>
            <w:pPr>
              <w:pStyle w:val="4"/>
              <w:spacing w:line="0" w:lineRule="atLeast"/>
              <w:ind w:firstLine="0" w:firstLineChars="0"/>
              <w:jc w:val="both"/>
              <w:rPr>
                <w:sz w:val="28"/>
                <w:szCs w:val="22"/>
              </w:rPr>
            </w:pPr>
            <w:r>
              <w:rPr>
                <w:sz w:val="28"/>
                <w:szCs w:val="22"/>
              </w:rPr>
              <w:t>二级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2</w:t>
            </w:r>
          </w:p>
        </w:tc>
        <w:tc>
          <w:tcPr>
            <w:tcW w:w="0" w:type="auto"/>
          </w:tcPr>
          <w:p>
            <w:pPr>
              <w:pStyle w:val="4"/>
              <w:spacing w:line="0" w:lineRule="atLeast"/>
              <w:ind w:firstLine="0" w:firstLineChars="0"/>
              <w:jc w:val="both"/>
              <w:rPr>
                <w:sz w:val="28"/>
                <w:szCs w:val="22"/>
              </w:rPr>
            </w:pPr>
            <w:r>
              <w:rPr>
                <w:sz w:val="28"/>
                <w:szCs w:val="22"/>
              </w:rPr>
              <w:t>中国石化销售股份有限公司四川资阳石油分公司昭荣加油站</w:t>
            </w:r>
          </w:p>
        </w:tc>
        <w:tc>
          <w:tcPr>
            <w:tcW w:w="0" w:type="auto"/>
          </w:tcPr>
          <w:p>
            <w:pPr>
              <w:pStyle w:val="4"/>
              <w:spacing w:line="0" w:lineRule="atLeast"/>
              <w:ind w:firstLine="0" w:firstLineChars="0"/>
              <w:jc w:val="both"/>
              <w:rPr>
                <w:sz w:val="28"/>
                <w:szCs w:val="22"/>
              </w:rPr>
            </w:pPr>
            <w:r>
              <w:rPr>
                <w:sz w:val="28"/>
                <w:szCs w:val="22"/>
              </w:rPr>
              <w:t>加油（气）站</w:t>
            </w:r>
          </w:p>
        </w:tc>
        <w:tc>
          <w:tcPr>
            <w:tcW w:w="0" w:type="auto"/>
          </w:tcPr>
          <w:p>
            <w:pPr>
              <w:pStyle w:val="4"/>
              <w:spacing w:line="0" w:lineRule="atLeast"/>
              <w:ind w:firstLine="0" w:firstLineChars="0"/>
              <w:jc w:val="both"/>
              <w:rPr>
                <w:sz w:val="28"/>
                <w:szCs w:val="22"/>
              </w:rPr>
            </w:pPr>
            <w:r>
              <w:rPr>
                <w:sz w:val="28"/>
                <w:szCs w:val="22"/>
              </w:rPr>
              <w:t>乐至县孔雀乡精忠庙村8组</w:t>
            </w:r>
          </w:p>
        </w:tc>
        <w:tc>
          <w:tcPr>
            <w:tcW w:w="0" w:type="auto"/>
          </w:tcPr>
          <w:p>
            <w:pPr>
              <w:pStyle w:val="4"/>
              <w:spacing w:line="0" w:lineRule="atLeast"/>
              <w:ind w:firstLine="0" w:firstLineChars="0"/>
              <w:jc w:val="both"/>
              <w:rPr>
                <w:sz w:val="28"/>
                <w:szCs w:val="22"/>
              </w:rPr>
            </w:pPr>
            <w:r>
              <w:rPr>
                <w:sz w:val="28"/>
                <w:szCs w:val="22"/>
              </w:rPr>
              <w:t>二级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3</w:t>
            </w:r>
          </w:p>
        </w:tc>
        <w:tc>
          <w:tcPr>
            <w:tcW w:w="0" w:type="auto"/>
          </w:tcPr>
          <w:p>
            <w:pPr>
              <w:pStyle w:val="4"/>
              <w:spacing w:line="0" w:lineRule="atLeast"/>
              <w:ind w:firstLine="0" w:firstLineChars="0"/>
              <w:jc w:val="both"/>
              <w:rPr>
                <w:sz w:val="28"/>
                <w:szCs w:val="22"/>
              </w:rPr>
            </w:pPr>
            <w:r>
              <w:rPr>
                <w:sz w:val="28"/>
                <w:szCs w:val="22"/>
              </w:rPr>
              <w:t>乐至县通旅加油站</w:t>
            </w:r>
          </w:p>
        </w:tc>
        <w:tc>
          <w:tcPr>
            <w:tcW w:w="0" w:type="auto"/>
          </w:tcPr>
          <w:p>
            <w:pPr>
              <w:pStyle w:val="4"/>
              <w:spacing w:line="0" w:lineRule="atLeast"/>
              <w:ind w:firstLine="0" w:firstLineChars="0"/>
              <w:jc w:val="both"/>
              <w:rPr>
                <w:sz w:val="28"/>
                <w:szCs w:val="22"/>
              </w:rPr>
            </w:pPr>
            <w:r>
              <w:rPr>
                <w:sz w:val="28"/>
                <w:szCs w:val="22"/>
              </w:rPr>
              <w:t>加油（气）站</w:t>
            </w:r>
          </w:p>
        </w:tc>
        <w:tc>
          <w:tcPr>
            <w:tcW w:w="0" w:type="auto"/>
          </w:tcPr>
          <w:p>
            <w:pPr>
              <w:pStyle w:val="4"/>
              <w:spacing w:line="0" w:lineRule="atLeast"/>
              <w:ind w:firstLine="0" w:firstLineChars="0"/>
              <w:jc w:val="both"/>
              <w:rPr>
                <w:sz w:val="28"/>
                <w:szCs w:val="22"/>
              </w:rPr>
            </w:pPr>
            <w:r>
              <w:rPr>
                <w:sz w:val="28"/>
                <w:szCs w:val="22"/>
              </w:rPr>
              <w:t>乐至县通旅镇新驿街111号</w:t>
            </w:r>
          </w:p>
        </w:tc>
        <w:tc>
          <w:tcPr>
            <w:tcW w:w="0" w:type="auto"/>
          </w:tcPr>
          <w:p>
            <w:pPr>
              <w:pStyle w:val="4"/>
              <w:spacing w:line="0" w:lineRule="atLeast"/>
              <w:ind w:firstLine="0" w:firstLineChars="0"/>
              <w:jc w:val="both"/>
              <w:rPr>
                <w:sz w:val="28"/>
                <w:szCs w:val="22"/>
              </w:rPr>
            </w:pPr>
            <w:r>
              <w:rPr>
                <w:sz w:val="28"/>
                <w:szCs w:val="22"/>
              </w:rPr>
              <w:t>三级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4</w:t>
            </w:r>
          </w:p>
        </w:tc>
        <w:tc>
          <w:tcPr>
            <w:tcW w:w="0" w:type="auto"/>
          </w:tcPr>
          <w:p>
            <w:pPr>
              <w:pStyle w:val="4"/>
              <w:spacing w:line="0" w:lineRule="atLeast"/>
              <w:ind w:firstLine="0" w:firstLineChars="0"/>
              <w:jc w:val="both"/>
              <w:rPr>
                <w:sz w:val="28"/>
                <w:szCs w:val="22"/>
              </w:rPr>
            </w:pPr>
            <w:r>
              <w:rPr>
                <w:sz w:val="28"/>
                <w:szCs w:val="22"/>
              </w:rPr>
              <w:t>四川渝蓉石化能源有限公司渝蓉高速乐至服务区右侧加油站</w:t>
            </w:r>
          </w:p>
        </w:tc>
        <w:tc>
          <w:tcPr>
            <w:tcW w:w="0" w:type="auto"/>
          </w:tcPr>
          <w:p>
            <w:pPr>
              <w:pStyle w:val="4"/>
              <w:spacing w:line="0" w:lineRule="atLeast"/>
              <w:ind w:firstLine="0" w:firstLineChars="0"/>
              <w:jc w:val="both"/>
              <w:rPr>
                <w:sz w:val="28"/>
                <w:szCs w:val="22"/>
              </w:rPr>
            </w:pPr>
            <w:r>
              <w:rPr>
                <w:sz w:val="28"/>
                <w:szCs w:val="22"/>
              </w:rPr>
              <w:t>加油（气）站</w:t>
            </w:r>
          </w:p>
        </w:tc>
        <w:tc>
          <w:tcPr>
            <w:tcW w:w="0" w:type="auto"/>
          </w:tcPr>
          <w:p>
            <w:pPr>
              <w:pStyle w:val="4"/>
              <w:spacing w:line="0" w:lineRule="atLeast"/>
              <w:ind w:firstLine="0" w:firstLineChars="0"/>
              <w:jc w:val="both"/>
              <w:rPr>
                <w:sz w:val="28"/>
                <w:szCs w:val="22"/>
              </w:rPr>
            </w:pPr>
            <w:r>
              <w:rPr>
                <w:sz w:val="28"/>
                <w:szCs w:val="22"/>
              </w:rPr>
              <w:t>乐至县东山镇朝阳观村1组</w:t>
            </w:r>
          </w:p>
        </w:tc>
        <w:tc>
          <w:tcPr>
            <w:tcW w:w="0" w:type="auto"/>
          </w:tcPr>
          <w:p>
            <w:pPr>
              <w:pStyle w:val="4"/>
              <w:spacing w:line="0" w:lineRule="atLeast"/>
              <w:ind w:firstLine="0" w:firstLineChars="0"/>
              <w:jc w:val="both"/>
              <w:rPr>
                <w:sz w:val="28"/>
                <w:szCs w:val="22"/>
              </w:rPr>
            </w:pPr>
            <w:r>
              <w:rPr>
                <w:sz w:val="28"/>
                <w:szCs w:val="22"/>
              </w:rPr>
              <w:t>二级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5</w:t>
            </w:r>
          </w:p>
        </w:tc>
        <w:tc>
          <w:tcPr>
            <w:tcW w:w="0" w:type="auto"/>
          </w:tcPr>
          <w:p>
            <w:pPr>
              <w:pStyle w:val="4"/>
              <w:spacing w:line="0" w:lineRule="atLeast"/>
              <w:ind w:firstLine="0" w:firstLineChars="0"/>
              <w:jc w:val="both"/>
              <w:rPr>
                <w:sz w:val="28"/>
                <w:szCs w:val="22"/>
              </w:rPr>
            </w:pPr>
            <w:r>
              <w:rPr>
                <w:sz w:val="28"/>
                <w:szCs w:val="22"/>
              </w:rPr>
              <w:t>四川渝蓉石化能源有限公司渝蓉高速乐至服务区左侧加油站</w:t>
            </w:r>
          </w:p>
        </w:tc>
        <w:tc>
          <w:tcPr>
            <w:tcW w:w="0" w:type="auto"/>
          </w:tcPr>
          <w:p>
            <w:pPr>
              <w:pStyle w:val="4"/>
              <w:spacing w:line="0" w:lineRule="atLeast"/>
              <w:ind w:firstLine="0" w:firstLineChars="0"/>
              <w:jc w:val="both"/>
              <w:rPr>
                <w:sz w:val="28"/>
                <w:szCs w:val="22"/>
              </w:rPr>
            </w:pPr>
            <w:r>
              <w:rPr>
                <w:sz w:val="28"/>
                <w:szCs w:val="22"/>
              </w:rPr>
              <w:t>加油（气）站</w:t>
            </w:r>
          </w:p>
        </w:tc>
        <w:tc>
          <w:tcPr>
            <w:tcW w:w="0" w:type="auto"/>
          </w:tcPr>
          <w:p>
            <w:pPr>
              <w:pStyle w:val="4"/>
              <w:spacing w:line="0" w:lineRule="atLeast"/>
              <w:ind w:firstLine="0" w:firstLineChars="0"/>
              <w:jc w:val="both"/>
              <w:rPr>
                <w:sz w:val="28"/>
                <w:szCs w:val="22"/>
              </w:rPr>
            </w:pPr>
            <w:r>
              <w:rPr>
                <w:sz w:val="28"/>
                <w:szCs w:val="22"/>
              </w:rPr>
              <w:t>乐至县东山镇朝阳观村1组</w:t>
            </w:r>
          </w:p>
        </w:tc>
        <w:tc>
          <w:tcPr>
            <w:tcW w:w="0" w:type="auto"/>
          </w:tcPr>
          <w:p>
            <w:pPr>
              <w:pStyle w:val="4"/>
              <w:spacing w:line="0" w:lineRule="atLeast"/>
              <w:ind w:firstLine="0" w:firstLineChars="0"/>
              <w:jc w:val="both"/>
              <w:rPr>
                <w:sz w:val="28"/>
                <w:szCs w:val="22"/>
              </w:rPr>
            </w:pPr>
            <w:r>
              <w:rPr>
                <w:sz w:val="28"/>
                <w:szCs w:val="22"/>
              </w:rPr>
              <w:t>二级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6</w:t>
            </w:r>
          </w:p>
        </w:tc>
        <w:tc>
          <w:tcPr>
            <w:tcW w:w="0" w:type="auto"/>
          </w:tcPr>
          <w:p>
            <w:pPr>
              <w:pStyle w:val="4"/>
              <w:spacing w:line="0" w:lineRule="atLeast"/>
              <w:ind w:firstLine="0" w:firstLineChars="0"/>
              <w:jc w:val="both"/>
              <w:rPr>
                <w:sz w:val="28"/>
                <w:szCs w:val="22"/>
              </w:rPr>
            </w:pPr>
            <w:r>
              <w:rPr>
                <w:sz w:val="28"/>
                <w:szCs w:val="22"/>
              </w:rPr>
              <w:t>乐至县石湍加油站</w:t>
            </w:r>
          </w:p>
        </w:tc>
        <w:tc>
          <w:tcPr>
            <w:tcW w:w="0" w:type="auto"/>
          </w:tcPr>
          <w:p>
            <w:pPr>
              <w:pStyle w:val="4"/>
              <w:spacing w:line="0" w:lineRule="atLeast"/>
              <w:ind w:firstLine="0" w:firstLineChars="0"/>
              <w:jc w:val="both"/>
              <w:rPr>
                <w:sz w:val="28"/>
                <w:szCs w:val="22"/>
              </w:rPr>
            </w:pPr>
            <w:r>
              <w:rPr>
                <w:sz w:val="28"/>
                <w:szCs w:val="22"/>
              </w:rPr>
              <w:t>加油（气）站</w:t>
            </w:r>
          </w:p>
        </w:tc>
        <w:tc>
          <w:tcPr>
            <w:tcW w:w="0" w:type="auto"/>
          </w:tcPr>
          <w:p>
            <w:pPr>
              <w:pStyle w:val="4"/>
              <w:spacing w:line="0" w:lineRule="atLeast"/>
              <w:ind w:firstLine="0" w:firstLineChars="0"/>
              <w:jc w:val="both"/>
              <w:rPr>
                <w:sz w:val="28"/>
                <w:szCs w:val="22"/>
              </w:rPr>
            </w:pPr>
            <w:r>
              <w:rPr>
                <w:sz w:val="28"/>
                <w:szCs w:val="22"/>
              </w:rPr>
              <w:t>乐至县石湍镇拱桥村一社</w:t>
            </w:r>
          </w:p>
        </w:tc>
        <w:tc>
          <w:tcPr>
            <w:tcW w:w="0" w:type="auto"/>
          </w:tcPr>
          <w:p>
            <w:pPr>
              <w:pStyle w:val="4"/>
              <w:spacing w:line="0" w:lineRule="atLeast"/>
              <w:ind w:firstLine="0" w:firstLineChars="0"/>
              <w:jc w:val="both"/>
              <w:rPr>
                <w:sz w:val="28"/>
                <w:szCs w:val="22"/>
              </w:rPr>
            </w:pPr>
            <w:r>
              <w:rPr>
                <w:sz w:val="28"/>
                <w:szCs w:val="22"/>
              </w:rPr>
              <w:t>三级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
              <w:spacing w:line="0" w:lineRule="atLeast"/>
              <w:ind w:firstLine="0" w:firstLineChars="0"/>
              <w:jc w:val="both"/>
              <w:rPr>
                <w:sz w:val="28"/>
                <w:szCs w:val="22"/>
              </w:rPr>
            </w:pPr>
            <w:r>
              <w:rPr>
                <w:rFonts w:hint="eastAsia"/>
                <w:sz w:val="28"/>
                <w:szCs w:val="22"/>
              </w:rPr>
              <w:t>7</w:t>
            </w:r>
          </w:p>
        </w:tc>
        <w:tc>
          <w:tcPr>
            <w:tcW w:w="0" w:type="auto"/>
          </w:tcPr>
          <w:p>
            <w:pPr>
              <w:pStyle w:val="4"/>
              <w:spacing w:line="0" w:lineRule="atLeast"/>
              <w:ind w:firstLine="0" w:firstLineChars="0"/>
              <w:jc w:val="both"/>
              <w:rPr>
                <w:sz w:val="28"/>
                <w:szCs w:val="22"/>
              </w:rPr>
            </w:pPr>
            <w:r>
              <w:rPr>
                <w:sz w:val="28"/>
                <w:szCs w:val="22"/>
              </w:rPr>
              <w:t>乐至县蜀能天然气有限责任公司</w:t>
            </w:r>
          </w:p>
        </w:tc>
        <w:tc>
          <w:tcPr>
            <w:tcW w:w="0" w:type="auto"/>
          </w:tcPr>
          <w:p>
            <w:pPr>
              <w:pStyle w:val="4"/>
              <w:spacing w:line="0" w:lineRule="atLeast"/>
              <w:ind w:firstLine="0" w:firstLineChars="0"/>
              <w:jc w:val="both"/>
              <w:rPr>
                <w:sz w:val="28"/>
                <w:szCs w:val="22"/>
              </w:rPr>
            </w:pPr>
            <w:r>
              <w:rPr>
                <w:sz w:val="28"/>
                <w:szCs w:val="22"/>
              </w:rPr>
              <w:t>危化品经营（不带有储存设施）</w:t>
            </w:r>
          </w:p>
        </w:tc>
        <w:tc>
          <w:tcPr>
            <w:tcW w:w="0" w:type="auto"/>
          </w:tcPr>
          <w:p>
            <w:pPr>
              <w:pStyle w:val="4"/>
              <w:spacing w:line="0" w:lineRule="atLeast"/>
              <w:ind w:firstLine="0" w:firstLineChars="0"/>
              <w:jc w:val="both"/>
              <w:rPr>
                <w:sz w:val="28"/>
                <w:szCs w:val="22"/>
              </w:rPr>
            </w:pPr>
            <w:r>
              <w:rPr>
                <w:sz w:val="28"/>
                <w:szCs w:val="22"/>
              </w:rPr>
              <w:t>乐至县石湍镇中学路38号、40号</w:t>
            </w:r>
          </w:p>
        </w:tc>
        <w:tc>
          <w:tcPr>
            <w:tcW w:w="0" w:type="auto"/>
          </w:tcPr>
          <w:p>
            <w:pPr>
              <w:pStyle w:val="4"/>
              <w:spacing w:line="0" w:lineRule="atLeast"/>
              <w:ind w:firstLine="0" w:firstLineChars="0"/>
              <w:jc w:val="both"/>
              <w:rPr>
                <w:sz w:val="28"/>
                <w:szCs w:val="22"/>
              </w:rPr>
            </w:pPr>
            <w:r>
              <w:rPr>
                <w:sz w:val="28"/>
                <w:szCs w:val="22"/>
              </w:rPr>
              <w:t>未评级</w:t>
            </w:r>
          </w:p>
        </w:tc>
        <w:tc>
          <w:tcPr>
            <w:tcW w:w="0" w:type="auto"/>
          </w:tcPr>
          <w:p>
            <w:pPr>
              <w:pStyle w:val="4"/>
              <w:spacing w:line="0" w:lineRule="atLeast"/>
              <w:ind w:firstLine="0" w:firstLineChars="0"/>
              <w:jc w:val="both"/>
              <w:rPr>
                <w:sz w:val="28"/>
                <w:szCs w:val="22"/>
              </w:rPr>
            </w:pPr>
            <w:r>
              <w:rPr>
                <w:sz w:val="28"/>
                <w:szCs w:val="22"/>
              </w:rPr>
              <w:t>在产(经营)</w:t>
            </w:r>
          </w:p>
        </w:tc>
        <w:tc>
          <w:tcPr>
            <w:tcW w:w="0" w:type="auto"/>
          </w:tcPr>
          <w:p>
            <w:pPr>
              <w:pStyle w:val="4"/>
              <w:spacing w:line="0" w:lineRule="atLeast"/>
              <w:ind w:firstLine="0" w:firstLineChars="0"/>
              <w:jc w:val="both"/>
              <w:rPr>
                <w:sz w:val="28"/>
                <w:szCs w:val="22"/>
              </w:rPr>
            </w:pPr>
          </w:p>
        </w:tc>
      </w:tr>
    </w:tbl>
    <w:p>
      <w:pPr>
        <w:pStyle w:val="3"/>
        <w:ind w:firstLine="0" w:firstLineChars="0"/>
        <w:jc w:val="center"/>
        <w:rPr>
          <w:rFonts w:hint="eastAsia"/>
          <w:b w:val="0"/>
          <w:bCs w:val="0"/>
        </w:rPr>
      </w:pPr>
      <w:r>
        <w:br w:type="page"/>
      </w:r>
      <w:r>
        <w:rPr>
          <w:b w:val="0"/>
          <w:bCs w:val="0"/>
        </w:rPr>
        <w:t xml:space="preserve">2. </w:t>
      </w:r>
      <w:r>
        <w:rPr>
          <w:rFonts w:hint="eastAsia"/>
          <w:b w:val="0"/>
          <w:bCs w:val="0"/>
        </w:rPr>
        <w:t>片区2</w:t>
      </w:r>
      <w:r>
        <w:rPr>
          <w:b w:val="0"/>
          <w:bCs w:val="0"/>
        </w:rPr>
        <w:t>021</w:t>
      </w:r>
      <w:r>
        <w:rPr>
          <w:rFonts w:hint="eastAsia"/>
          <w:b w:val="0"/>
          <w:bCs w:val="0"/>
        </w:rPr>
        <w:t>年洪涝受害受灾情况</w:t>
      </w:r>
    </w:p>
    <w:tbl>
      <w:tblPr>
        <w:tblStyle w:val="10"/>
        <w:tblpPr w:leftFromText="180" w:rightFromText="180" w:vertAnchor="text" w:horzAnchor="page" w:tblpX="3261" w:tblpY="714"/>
        <w:tblOverlap w:val="never"/>
        <w:tblW w:w="3828" w:type="pct"/>
        <w:tblInd w:w="0" w:type="dxa"/>
        <w:tblLayout w:type="autofit"/>
        <w:tblCellMar>
          <w:top w:w="0" w:type="dxa"/>
          <w:left w:w="108" w:type="dxa"/>
          <w:bottom w:w="0" w:type="dxa"/>
          <w:right w:w="108" w:type="dxa"/>
        </w:tblCellMar>
      </w:tblPr>
      <w:tblGrid>
        <w:gridCol w:w="2482"/>
        <w:gridCol w:w="3023"/>
        <w:gridCol w:w="2361"/>
        <w:gridCol w:w="2065"/>
      </w:tblGrid>
      <w:tr>
        <w:tblPrEx>
          <w:tblCellMar>
            <w:top w:w="0" w:type="dxa"/>
            <w:left w:w="108" w:type="dxa"/>
            <w:bottom w:w="0" w:type="dxa"/>
            <w:right w:w="108" w:type="dxa"/>
          </w:tblCellMar>
        </w:tblPrEx>
        <w:trPr>
          <w:trHeight w:val="994" w:hRule="atLeast"/>
        </w:trPr>
        <w:tc>
          <w:tcPr>
            <w:tcW w:w="1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序号</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乡镇</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受灾人口</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备注</w:t>
            </w:r>
          </w:p>
        </w:tc>
      </w:tr>
      <w:tr>
        <w:tblPrEx>
          <w:tblCellMar>
            <w:top w:w="0" w:type="dxa"/>
            <w:left w:w="108" w:type="dxa"/>
            <w:bottom w:w="0" w:type="dxa"/>
            <w:right w:w="108" w:type="dxa"/>
          </w:tblCellMar>
        </w:tblPrEx>
        <w:trPr>
          <w:trHeight w:val="282" w:hRule="atLeast"/>
        </w:trPr>
        <w:tc>
          <w:tcPr>
            <w:tcW w:w="1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1</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回澜镇</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55</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rPr>
                <w:rFonts w:ascii="仿宋" w:hAnsi="仿宋" w:cs="仿宋"/>
                <w:color w:val="000000"/>
                <w:sz w:val="28"/>
                <w:szCs w:val="28"/>
              </w:rPr>
            </w:pPr>
          </w:p>
        </w:tc>
      </w:tr>
      <w:tr>
        <w:tblPrEx>
          <w:tblCellMar>
            <w:top w:w="0" w:type="dxa"/>
            <w:left w:w="108" w:type="dxa"/>
            <w:bottom w:w="0" w:type="dxa"/>
            <w:right w:w="108" w:type="dxa"/>
          </w:tblCellMar>
        </w:tblPrEx>
        <w:trPr>
          <w:trHeight w:val="282" w:hRule="atLeast"/>
        </w:trPr>
        <w:tc>
          <w:tcPr>
            <w:tcW w:w="1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2</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石湍镇</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1963</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rPr>
                <w:rFonts w:ascii="仿宋" w:hAnsi="仿宋" w:cs="仿宋"/>
                <w:color w:val="000000"/>
                <w:sz w:val="28"/>
                <w:szCs w:val="28"/>
              </w:rPr>
            </w:pPr>
          </w:p>
        </w:tc>
      </w:tr>
      <w:tr>
        <w:tblPrEx>
          <w:tblCellMar>
            <w:top w:w="0" w:type="dxa"/>
            <w:left w:w="108" w:type="dxa"/>
            <w:bottom w:w="0" w:type="dxa"/>
            <w:right w:w="108" w:type="dxa"/>
          </w:tblCellMar>
        </w:tblPrEx>
        <w:trPr>
          <w:trHeight w:val="282" w:hRule="atLeast"/>
        </w:trPr>
        <w:tc>
          <w:tcPr>
            <w:tcW w:w="1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3</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东山镇</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2442</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rPr>
                <w:rFonts w:ascii="仿宋" w:hAnsi="仿宋" w:cs="仿宋"/>
                <w:color w:val="000000"/>
                <w:sz w:val="28"/>
                <w:szCs w:val="28"/>
              </w:rPr>
            </w:pPr>
          </w:p>
        </w:tc>
      </w:tr>
      <w:tr>
        <w:tblPrEx>
          <w:tblCellMar>
            <w:top w:w="0" w:type="dxa"/>
            <w:left w:w="108" w:type="dxa"/>
            <w:bottom w:w="0" w:type="dxa"/>
            <w:right w:w="108" w:type="dxa"/>
          </w:tblCellMar>
        </w:tblPrEx>
        <w:trPr>
          <w:trHeight w:val="282" w:hRule="atLeast"/>
        </w:trPr>
        <w:tc>
          <w:tcPr>
            <w:tcW w:w="1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4</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通旅镇</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2400</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rPr>
                <w:rFonts w:ascii="仿宋" w:hAnsi="仿宋" w:cs="仿宋"/>
                <w:color w:val="000000"/>
                <w:sz w:val="28"/>
                <w:szCs w:val="28"/>
              </w:rPr>
            </w:pPr>
          </w:p>
        </w:tc>
      </w:tr>
      <w:tr>
        <w:tblPrEx>
          <w:tblCellMar>
            <w:top w:w="0" w:type="dxa"/>
            <w:left w:w="108" w:type="dxa"/>
            <w:bottom w:w="0" w:type="dxa"/>
            <w:right w:w="108" w:type="dxa"/>
          </w:tblCellMar>
        </w:tblPrEx>
        <w:trPr>
          <w:trHeight w:val="282" w:hRule="atLeast"/>
        </w:trPr>
        <w:tc>
          <w:tcPr>
            <w:tcW w:w="1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5</w:t>
            </w:r>
          </w:p>
        </w:tc>
        <w:tc>
          <w:tcPr>
            <w:tcW w:w="1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双河场乡</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cs="仿宋"/>
                <w:color w:val="000000"/>
                <w:sz w:val="28"/>
                <w:szCs w:val="28"/>
              </w:rPr>
            </w:pPr>
            <w:r>
              <w:rPr>
                <w:rFonts w:hint="eastAsia" w:ascii="仿宋" w:hAnsi="仿宋" w:cs="仿宋"/>
                <w:color w:val="000000"/>
                <w:kern w:val="0"/>
                <w:sz w:val="28"/>
                <w:szCs w:val="28"/>
                <w:lang w:bidi="ar"/>
              </w:rPr>
              <w:t>2266</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rPr>
                <w:rFonts w:ascii="仿宋" w:hAnsi="仿宋" w:cs="仿宋"/>
                <w:color w:val="000000"/>
                <w:sz w:val="28"/>
                <w:szCs w:val="28"/>
              </w:rPr>
            </w:pPr>
          </w:p>
        </w:tc>
      </w:tr>
    </w:tbl>
    <w:p>
      <w:pPr>
        <w:ind w:firstLine="622"/>
        <w:rPr>
          <w:rFonts w:ascii="仿宋" w:hAnsi="仿宋" w:cs="仿宋"/>
          <w:b/>
          <w:bCs/>
          <w:color w:val="000000"/>
          <w:kern w:val="0"/>
          <w:sz w:val="31"/>
          <w:szCs w:val="31"/>
          <w:lang w:bidi="ar"/>
        </w:rPr>
      </w:pPr>
      <w:r>
        <w:rPr>
          <w:rFonts w:ascii="仿宋" w:hAnsi="仿宋" w:cs="仿宋"/>
          <w:b/>
          <w:bCs/>
          <w:color w:val="000000"/>
          <w:kern w:val="0"/>
          <w:sz w:val="31"/>
          <w:szCs w:val="31"/>
          <w:lang w:bidi="ar"/>
        </w:rPr>
        <w:br w:type="page"/>
      </w:r>
    </w:p>
    <w:p>
      <w:pPr>
        <w:pStyle w:val="3"/>
        <w:tabs>
          <w:tab w:val="left" w:pos="312"/>
        </w:tabs>
        <w:ind w:firstLine="0" w:firstLineChars="0"/>
        <w:jc w:val="center"/>
        <w:rPr>
          <w:rFonts w:hint="eastAsia"/>
          <w:b w:val="0"/>
          <w:bCs w:val="0"/>
        </w:rPr>
      </w:pPr>
      <w:r>
        <w:rPr>
          <w:rFonts w:hint="eastAsia"/>
          <w:b w:val="0"/>
          <w:bCs w:val="0"/>
        </w:rPr>
        <w:t>3</w:t>
      </w:r>
      <w:r>
        <w:rPr>
          <w:b w:val="0"/>
          <w:bCs w:val="0"/>
        </w:rPr>
        <w:t xml:space="preserve">. </w:t>
      </w:r>
      <w:r>
        <w:rPr>
          <w:rFonts w:hint="eastAsia"/>
          <w:b w:val="0"/>
          <w:bCs w:val="0"/>
        </w:rPr>
        <w:t>应急队伍统计及分布表</w:t>
      </w:r>
    </w:p>
    <w:tbl>
      <w:tblPr>
        <w:tblStyle w:val="10"/>
        <w:tblW w:w="5000" w:type="pct"/>
        <w:tblInd w:w="0" w:type="dxa"/>
        <w:tblLayout w:type="autofit"/>
        <w:tblCellMar>
          <w:top w:w="0" w:type="dxa"/>
          <w:left w:w="108" w:type="dxa"/>
          <w:bottom w:w="0" w:type="dxa"/>
          <w:right w:w="108" w:type="dxa"/>
        </w:tblCellMar>
      </w:tblPr>
      <w:tblGrid>
        <w:gridCol w:w="1319"/>
        <w:gridCol w:w="1319"/>
        <w:gridCol w:w="3926"/>
        <w:gridCol w:w="1794"/>
        <w:gridCol w:w="3926"/>
        <w:gridCol w:w="688"/>
      </w:tblGrid>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序号</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类型</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队伍名称</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队伍人数</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救援类型</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备注</w:t>
            </w: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镇级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双河场乡应急救援队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双河社区应急救援分队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两河口村应急救援分队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海慧寺村应急救援分队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瓦灰寺村应急救援分队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石庙子村应急救援分队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和平社区应急救援分队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西岳村应急救援分队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古柏树村应急救援分队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镇级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通旅镇应急救援队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34</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通旅镇复兴庙村应急救援分队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通旅镇四洞桥村应急救援分队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通旅镇新桥村应急救援分队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通旅镇乐阳桥村应急救援分队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通旅镇花书房村应急救援分队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通旅镇道士观村应急救援分队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通旅镇倒座庙村应急救援分队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通旅镇红紫厂村应急救援分队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通旅社区应急救援分队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光明社区应急救援分队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镇级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回澜镇应急救援队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回澜镇乐安社区应急救援分队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回澜镇万安社区应急救援分队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回澜镇回澜社区应急救援分队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回澜镇土桥社区应急救援分队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回澜镇龙溪社区应急救援分队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回澜镇花祠堂村应急救援分队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回澜镇爆花村应急救援分队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回澜镇油坊村应急救援分队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回澜镇水口寺村应急救援分队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回澜镇兰家村应急救援分队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回澜镇付家庙村应急救援分队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回澜镇牛场坝村应急救援分队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回澜镇金山村应急救援分队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回澜镇马锣寺村应急救援分队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回澜镇观音桥村应急救援分队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回澜镇云峰村应急救援分队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回澜镇棉花沟村应急救援分队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回澜镇互助村应急救援分队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回澜镇五台山村应急救援分队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回澜镇龙王庙村应急救援分队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回澜镇祠善村应急救援分队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镇级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东山镇应急救援队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东山镇方广村应急救援分队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东山镇东山社区应急救援分队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东山镇东乐村应急救援分队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东山镇凤凰村应急救援分队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东山镇孔雀寺村应急救援分队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49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东山镇孔雀社区应急救援分队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东山镇云台村应急救援分队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东山镇大茅坪村应急救援分队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东山镇赛老村应急救援分队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东山镇白塔寺村应急救援分队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东山镇二龙桥村应急救援分队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东山镇新中社区应急救援分队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东山镇龙凤村应急救援分队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东山镇马家井村应急救援分队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东山镇高隆庙村应急救援分队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59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东山镇八角庙村应急救援分队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镇级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石湍镇应急救援队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35</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石湍镇河西社区应急救援分队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11</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石湍镇河东社区应急救援分队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18</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石湍镇桂花社区应急救援分队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石湍镇和兴社区应急救援分队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22</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石湍镇朝阳店村应急救援分队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石湍镇曹家庙村应急救援分队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石湍镇龟山寺村应急救援分队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15</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石湍镇高庙子村应急救援分队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12</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石湍镇普明寺村应急救援分队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13</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石湍镇玉峰山村应急救援分队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20</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石湍镇毛家坪村应急救援分队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19</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石湍镇天宫堂村应急救援分队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19</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石湍镇宝堂寺村应急救援分队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21</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石湍镇万德沟村应急救援分队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22</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r>
        <w:tblPrEx>
          <w:tblCellMar>
            <w:top w:w="0" w:type="dxa"/>
            <w:left w:w="108" w:type="dxa"/>
            <w:bottom w:w="0" w:type="dxa"/>
            <w:right w:w="108" w:type="dxa"/>
          </w:tblCellMar>
        </w:tblPrEx>
        <w:trPr>
          <w:trHeight w:val="28"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村级</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石湍镇长埝沟村应急救援分队</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21</w:t>
            </w:r>
          </w:p>
        </w:tc>
        <w:tc>
          <w:tcPr>
            <w:tcW w:w="1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r>
              <w:rPr>
                <w:rFonts w:hint="eastAsia"/>
                <w:sz w:val="21"/>
                <w:szCs w:val="18"/>
              </w:rPr>
              <w:t>乡镇（村庄、社区）应急救援</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ind w:firstLine="0" w:firstLineChars="0"/>
              <w:rPr>
                <w:sz w:val="21"/>
                <w:szCs w:val="18"/>
              </w:rPr>
            </w:pPr>
          </w:p>
        </w:tc>
      </w:tr>
    </w:tbl>
    <w:p>
      <w:pPr>
        <w:ind w:firstLine="0" w:firstLineChars="0"/>
      </w:pPr>
    </w:p>
    <w:p>
      <w:pPr>
        <w:ind w:firstLine="0" w:firstLineChars="0"/>
      </w:pPr>
      <w:r>
        <w:br w:type="page"/>
      </w:r>
    </w:p>
    <w:p>
      <w:pPr>
        <w:pStyle w:val="3"/>
        <w:tabs>
          <w:tab w:val="left" w:pos="312"/>
        </w:tabs>
        <w:ind w:firstLine="0" w:firstLineChars="0"/>
        <w:jc w:val="center"/>
        <w:rPr>
          <w:rFonts w:hint="eastAsia"/>
          <w:b w:val="0"/>
          <w:bCs w:val="0"/>
        </w:rPr>
      </w:pPr>
      <w:r>
        <w:rPr>
          <w:rFonts w:hint="eastAsia"/>
          <w:b w:val="0"/>
          <w:bCs w:val="0"/>
        </w:rPr>
        <w:t>4. 应急救援装备、物资统计及分布表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4478"/>
        <w:gridCol w:w="1188"/>
        <w:gridCol w:w="1188"/>
        <w:gridCol w:w="1188"/>
        <w:gridCol w:w="2548"/>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8" w:type="pct"/>
            <w:shd w:val="clear" w:color="auto" w:fill="auto"/>
            <w:noWrap/>
            <w:vAlign w:val="bottom"/>
          </w:tcPr>
          <w:p>
            <w:pPr>
              <w:widowControl/>
              <w:spacing w:line="0" w:lineRule="atLeast"/>
              <w:ind w:firstLine="0" w:firstLineChars="0"/>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1726" w:type="pct"/>
            <w:shd w:val="clear" w:color="auto" w:fill="auto"/>
            <w:vAlign w:val="center"/>
          </w:tcPr>
          <w:p>
            <w:pPr>
              <w:widowControl/>
              <w:spacing w:line="0" w:lineRule="atLeast"/>
              <w:ind w:firstLine="0" w:firstLineChars="0"/>
              <w:jc w:val="center"/>
              <w:textAlignment w:val="center"/>
              <w:rPr>
                <w:rFonts w:ascii="仿宋" w:hAnsi="仿宋" w:cs="仿宋"/>
                <w:color w:val="000000"/>
                <w:sz w:val="22"/>
                <w:szCs w:val="22"/>
              </w:rPr>
            </w:pPr>
            <w:r>
              <w:rPr>
                <w:rStyle w:val="16"/>
                <w:rFonts w:hint="default"/>
                <w:sz w:val="22"/>
                <w:szCs w:val="22"/>
                <w:lang w:bidi="ar"/>
              </w:rPr>
              <w:t>名称</w:t>
            </w:r>
          </w:p>
        </w:tc>
        <w:tc>
          <w:tcPr>
            <w:tcW w:w="458" w:type="pct"/>
            <w:shd w:val="clear" w:color="auto" w:fill="auto"/>
            <w:vAlign w:val="center"/>
          </w:tcPr>
          <w:p>
            <w:pPr>
              <w:widowControl/>
              <w:spacing w:line="0" w:lineRule="atLeast"/>
              <w:ind w:firstLine="0" w:firstLineChars="0"/>
              <w:jc w:val="center"/>
              <w:textAlignment w:val="center"/>
              <w:rPr>
                <w:rFonts w:ascii="仿宋" w:hAnsi="仿宋" w:cs="仿宋"/>
                <w:color w:val="000000"/>
                <w:sz w:val="22"/>
                <w:szCs w:val="22"/>
              </w:rPr>
            </w:pPr>
            <w:r>
              <w:rPr>
                <w:rStyle w:val="16"/>
                <w:rFonts w:hint="default"/>
                <w:sz w:val="22"/>
                <w:szCs w:val="22"/>
                <w:lang w:bidi="ar"/>
              </w:rPr>
              <w:t>规格型号</w:t>
            </w:r>
          </w:p>
        </w:tc>
        <w:tc>
          <w:tcPr>
            <w:tcW w:w="458" w:type="pct"/>
            <w:shd w:val="clear" w:color="auto" w:fill="auto"/>
            <w:vAlign w:val="center"/>
          </w:tcPr>
          <w:p>
            <w:pPr>
              <w:widowControl/>
              <w:spacing w:line="0" w:lineRule="atLeast"/>
              <w:ind w:firstLine="0" w:firstLineChars="0"/>
              <w:jc w:val="center"/>
              <w:textAlignment w:val="center"/>
              <w:rPr>
                <w:rFonts w:ascii="仿宋" w:hAnsi="仿宋" w:cs="仿宋"/>
                <w:color w:val="000000"/>
                <w:sz w:val="22"/>
                <w:szCs w:val="22"/>
              </w:rPr>
            </w:pPr>
            <w:r>
              <w:rPr>
                <w:rStyle w:val="16"/>
                <w:rFonts w:hint="default"/>
                <w:sz w:val="22"/>
                <w:szCs w:val="22"/>
                <w:lang w:bidi="ar"/>
              </w:rPr>
              <w:t>单位</w:t>
            </w:r>
          </w:p>
        </w:tc>
        <w:tc>
          <w:tcPr>
            <w:tcW w:w="458" w:type="pct"/>
            <w:shd w:val="clear" w:color="auto" w:fill="auto"/>
            <w:vAlign w:val="center"/>
          </w:tcPr>
          <w:p>
            <w:pPr>
              <w:widowControl/>
              <w:spacing w:line="0" w:lineRule="atLeast"/>
              <w:ind w:firstLine="0" w:firstLineChars="0"/>
              <w:jc w:val="center"/>
              <w:textAlignment w:val="center"/>
              <w:rPr>
                <w:rFonts w:ascii="仿宋" w:hAnsi="仿宋" w:cs="仿宋"/>
                <w:color w:val="000000"/>
                <w:sz w:val="22"/>
                <w:szCs w:val="22"/>
              </w:rPr>
            </w:pPr>
            <w:r>
              <w:rPr>
                <w:rStyle w:val="16"/>
                <w:rFonts w:hint="default"/>
                <w:sz w:val="22"/>
                <w:szCs w:val="22"/>
                <w:lang w:bidi="ar"/>
              </w:rPr>
              <w:t>数量</w:t>
            </w:r>
          </w:p>
        </w:tc>
        <w:tc>
          <w:tcPr>
            <w:tcW w:w="982" w:type="pct"/>
            <w:shd w:val="clear" w:color="auto" w:fill="auto"/>
            <w:vAlign w:val="center"/>
          </w:tcPr>
          <w:p>
            <w:pPr>
              <w:widowControl/>
              <w:spacing w:line="0" w:lineRule="atLeast"/>
              <w:ind w:firstLine="0" w:firstLineChars="0"/>
              <w:jc w:val="center"/>
              <w:textAlignment w:val="center"/>
              <w:rPr>
                <w:rFonts w:ascii="仿宋" w:hAnsi="仿宋" w:cs="仿宋"/>
                <w:color w:val="000000"/>
                <w:sz w:val="22"/>
                <w:szCs w:val="22"/>
              </w:rPr>
            </w:pPr>
            <w:r>
              <w:rPr>
                <w:rStyle w:val="16"/>
                <w:rFonts w:hint="default"/>
                <w:sz w:val="22"/>
                <w:szCs w:val="22"/>
                <w:lang w:bidi="ar"/>
              </w:rPr>
              <w:t>储存地点</w:t>
            </w:r>
          </w:p>
        </w:tc>
        <w:tc>
          <w:tcPr>
            <w:tcW w:w="458" w:type="pct"/>
            <w:shd w:val="clear" w:color="auto" w:fill="auto"/>
            <w:noWrap/>
            <w:vAlign w:val="bottom"/>
          </w:tcPr>
          <w:p>
            <w:pPr>
              <w:widowControl/>
              <w:spacing w:line="0" w:lineRule="atLeast"/>
              <w:ind w:firstLine="0" w:firstLineChars="0"/>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手持照明灯</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28</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睡袋</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头盔</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18</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捆绑绳</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Style w:val="17"/>
                <w:rFonts w:hint="default"/>
                <w:sz w:val="18"/>
                <w:szCs w:val="18"/>
                <w:lang w:bidi="ar"/>
              </w:rPr>
              <w:t>1</w:t>
            </w:r>
            <w:r>
              <w:rPr>
                <w:rStyle w:val="18"/>
                <w:rFonts w:eastAsia="宋体"/>
                <w:sz w:val="18"/>
                <w:szCs w:val="18"/>
                <w:lang w:bidi="ar"/>
              </w:rPr>
              <w:t>00</w:t>
            </w:r>
            <w:r>
              <w:rPr>
                <w:rStyle w:val="17"/>
                <w:rFonts w:hint="default"/>
                <w:sz w:val="18"/>
                <w:szCs w:val="18"/>
                <w:lang w:bidi="ar"/>
              </w:rPr>
              <w:t>米</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条</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救生背心</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大军锹</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大军镐</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森林灭火防护服</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套</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二号扑火工具</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消防锹</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消防斧</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喊话器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单兵背负式水枪</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6</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被子</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棉大衣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帐篷</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担架</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副</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双河社区物资储备库</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帐篷</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4</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雨靴</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双</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冲锋衣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铁铲</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十字镐</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斧头</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防洪编织袋</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强光手电筒</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消防水带</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Style w:val="17"/>
                <w:rFonts w:hint="default"/>
                <w:sz w:val="18"/>
                <w:szCs w:val="18"/>
                <w:lang w:bidi="ar"/>
              </w:rPr>
              <w:t>1</w:t>
            </w:r>
            <w:r>
              <w:rPr>
                <w:rStyle w:val="18"/>
                <w:rFonts w:eastAsia="宋体"/>
                <w:sz w:val="18"/>
                <w:szCs w:val="18"/>
                <w:lang w:bidi="ar"/>
              </w:rPr>
              <w:t>20</w:t>
            </w:r>
            <w:r>
              <w:rPr>
                <w:rStyle w:val="17"/>
                <w:rFonts w:hint="default"/>
                <w:sz w:val="18"/>
                <w:szCs w:val="18"/>
                <w:lang w:bidi="ar"/>
              </w:rPr>
              <w:t>米</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条</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水管</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Style w:val="17"/>
                <w:rFonts w:hint="default"/>
                <w:sz w:val="18"/>
                <w:szCs w:val="18"/>
                <w:lang w:bidi="ar"/>
              </w:rPr>
              <w:t>4</w:t>
            </w:r>
            <w:r>
              <w:rPr>
                <w:rStyle w:val="18"/>
                <w:rFonts w:eastAsia="宋体"/>
                <w:sz w:val="18"/>
                <w:szCs w:val="18"/>
                <w:lang w:bidi="ar"/>
              </w:rPr>
              <w:t>00</w:t>
            </w:r>
            <w:r>
              <w:rPr>
                <w:rStyle w:val="17"/>
                <w:rFonts w:hint="default"/>
                <w:sz w:val="18"/>
                <w:szCs w:val="18"/>
                <w:lang w:bidi="ar"/>
              </w:rPr>
              <w:t>米</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条</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救援担架</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折叠床</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折</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棉被</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通旅镇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棉大衣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7</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棉被</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风力灭火机</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油锯</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套</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便携照明灯</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7</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台式报警器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手摇报警器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抽水水泵</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背囊</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套</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套</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救生圈</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背携式水枪</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雨靴</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双</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防洪编织袋</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49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十字镐</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铁锹</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灭火扫把</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砍刀</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应急帐篷</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回澜镇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折叠床</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棉被</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60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棉大衣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棉衣裤</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照明灯</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59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铜锣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手摇式报警器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砍刀</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铁锹</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铁镐</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8</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消防服（衣裤、鞋帽、手套、腰带）</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吹风机</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割草机</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灭火拖把</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消防水管</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Style w:val="17"/>
                <w:rFonts w:hint="default"/>
                <w:sz w:val="18"/>
                <w:szCs w:val="18"/>
                <w:lang w:bidi="ar"/>
              </w:rPr>
              <w:t>5</w:t>
            </w:r>
            <w:r>
              <w:rPr>
                <w:rStyle w:val="18"/>
                <w:rFonts w:eastAsia="宋体"/>
                <w:sz w:val="18"/>
                <w:szCs w:val="18"/>
                <w:lang w:bidi="ar"/>
              </w:rPr>
              <w:t>0</w:t>
            </w:r>
            <w:r>
              <w:rPr>
                <w:rStyle w:val="17"/>
                <w:rFonts w:hint="default"/>
                <w:sz w:val="18"/>
                <w:szCs w:val="18"/>
                <w:lang w:bidi="ar"/>
              </w:rPr>
              <w:t>米</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米</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69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水泵</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救生圈</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喊话器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防洪编织袋</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石湍镇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救灾帐篷</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14</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棉被</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315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棉衣、棉大衣</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165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救生圈</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安全帽</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19</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79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锄头</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钢钎</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十字镐</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盾牌</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9</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防暴棍</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救援绳</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5</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救援担架</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吸水膨胀防洪袋</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240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强光手电</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汽油发电机</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89</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手摇警报器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部</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90</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警用头盔</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91</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消防水泵</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92</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消防水带</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条</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9</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93</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消防水枪</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个</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4</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94</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干粉灭火器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罐</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12</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95</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背负式森林灭火器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部</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6</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96</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灭火拖把</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把</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30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97</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过滤式消防</w:t>
            </w:r>
          </w:p>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自救呼吸器</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台</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6</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8" w:type="pct"/>
            <w:shd w:val="clear" w:color="auto" w:fill="auto"/>
            <w:noWrap/>
            <w:vAlign w:val="bottom"/>
          </w:tcPr>
          <w:p>
            <w:pPr>
              <w:widowControl/>
              <w:spacing w:line="0" w:lineRule="atLeast"/>
              <w:ind w:firstLine="0" w:firstLineChars="0"/>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98</w:t>
            </w:r>
          </w:p>
        </w:tc>
        <w:tc>
          <w:tcPr>
            <w:tcW w:w="1726"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防潮垫</w:t>
            </w:r>
          </w:p>
        </w:tc>
        <w:tc>
          <w:tcPr>
            <w:tcW w:w="458" w:type="pct"/>
            <w:shd w:val="clear" w:color="auto" w:fill="auto"/>
            <w:vAlign w:val="center"/>
          </w:tcPr>
          <w:p>
            <w:pPr>
              <w:widowControl/>
              <w:spacing w:line="0" w:lineRule="atLeast"/>
              <w:ind w:firstLine="0" w:firstLineChars="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w:t>
            </w:r>
          </w:p>
        </w:tc>
        <w:tc>
          <w:tcPr>
            <w:tcW w:w="458" w:type="pct"/>
            <w:shd w:val="clear" w:color="auto" w:fill="auto"/>
            <w:vAlign w:val="center"/>
          </w:tcPr>
          <w:p>
            <w:pPr>
              <w:widowControl/>
              <w:spacing w:line="0" w:lineRule="atLeast"/>
              <w:ind w:firstLine="0" w:firstLineChars="0"/>
              <w:textAlignment w:val="center"/>
              <w:rPr>
                <w:rFonts w:eastAsia="宋体"/>
                <w:color w:val="000000"/>
                <w:sz w:val="18"/>
                <w:szCs w:val="18"/>
              </w:rPr>
            </w:pPr>
            <w:r>
              <w:rPr>
                <w:rFonts w:eastAsia="宋体"/>
                <w:color w:val="000000"/>
                <w:kern w:val="0"/>
                <w:sz w:val="18"/>
                <w:szCs w:val="18"/>
                <w:lang w:bidi="ar"/>
              </w:rPr>
              <w:t>件</w:t>
            </w:r>
          </w:p>
        </w:tc>
        <w:tc>
          <w:tcPr>
            <w:tcW w:w="458" w:type="pct"/>
            <w:shd w:val="clear" w:color="auto" w:fill="auto"/>
          </w:tcPr>
          <w:p>
            <w:pPr>
              <w:widowControl/>
              <w:spacing w:line="0" w:lineRule="atLeast"/>
              <w:ind w:firstLine="0" w:firstLineChars="0"/>
              <w:jc w:val="center"/>
              <w:textAlignment w:val="top"/>
              <w:rPr>
                <w:rFonts w:eastAsia="宋体"/>
                <w:color w:val="000000"/>
                <w:sz w:val="20"/>
                <w:szCs w:val="20"/>
              </w:rPr>
            </w:pPr>
            <w:r>
              <w:rPr>
                <w:rFonts w:eastAsia="宋体"/>
                <w:color w:val="000000"/>
                <w:kern w:val="0"/>
                <w:sz w:val="20"/>
                <w:szCs w:val="20"/>
                <w:lang w:bidi="ar"/>
              </w:rPr>
              <w:t>10</w:t>
            </w:r>
          </w:p>
        </w:tc>
        <w:tc>
          <w:tcPr>
            <w:tcW w:w="982" w:type="pct"/>
            <w:shd w:val="clear" w:color="auto" w:fill="auto"/>
            <w:noWrap/>
            <w:vAlign w:val="center"/>
          </w:tcPr>
          <w:p>
            <w:pPr>
              <w:widowControl/>
              <w:spacing w:line="0" w:lineRule="atLeast"/>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东山镇</w:t>
            </w:r>
          </w:p>
        </w:tc>
        <w:tc>
          <w:tcPr>
            <w:tcW w:w="458" w:type="pct"/>
            <w:shd w:val="clear" w:color="auto" w:fill="auto"/>
            <w:noWrap/>
            <w:vAlign w:val="bottom"/>
          </w:tcPr>
          <w:p>
            <w:pPr>
              <w:widowControl/>
              <w:spacing w:line="0" w:lineRule="atLeast"/>
              <w:ind w:firstLine="0" w:firstLineChars="0"/>
              <w:rPr>
                <w:rFonts w:ascii="宋体" w:hAnsi="宋体" w:eastAsia="宋体" w:cs="宋体"/>
                <w:color w:val="000000"/>
                <w:sz w:val="21"/>
                <w:szCs w:val="21"/>
              </w:rPr>
            </w:pPr>
          </w:p>
        </w:tc>
      </w:tr>
    </w:tbl>
    <w:p>
      <w:pPr>
        <w:ind w:firstLine="0" w:firstLineChars="0"/>
      </w:pPr>
    </w:p>
    <w:p/>
    <w:p/>
    <w:p>
      <w:pPr>
        <w:pStyle w:val="2"/>
        <w:ind w:firstLine="723"/>
        <w:rPr>
          <w:rFonts w:hint="default"/>
        </w:rPr>
      </w:pPr>
    </w:p>
    <w:p/>
    <w:p>
      <w:pPr>
        <w:ind w:firstLine="0" w:firstLineChars="0"/>
        <w:rPr>
          <w:rFonts w:hint="eastAsia"/>
        </w:rPr>
      </w:pPr>
    </w:p>
    <w:p>
      <w:pPr>
        <w:pStyle w:val="3"/>
        <w:numPr>
          <w:ilvl w:val="0"/>
          <w:numId w:val="3"/>
        </w:numPr>
        <w:ind w:firstLineChars="0"/>
        <w:jc w:val="center"/>
        <w:rPr>
          <w:rFonts w:hint="eastAsia"/>
          <w:b w:val="0"/>
          <w:bCs w:val="0"/>
        </w:rPr>
      </w:pPr>
      <w:r>
        <w:rPr>
          <w:rFonts w:hint="eastAsia"/>
          <w:b w:val="0"/>
          <w:bCs w:val="0"/>
        </w:rPr>
        <w:t>重点工程项目统计表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481"/>
        <w:gridCol w:w="4129"/>
        <w:gridCol w:w="1650"/>
        <w:gridCol w:w="1252"/>
        <w:gridCol w:w="70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spacing w:line="0" w:lineRule="atLeast"/>
              <w:ind w:firstLine="0" w:firstLineChars="0"/>
              <w:jc w:val="center"/>
              <w:rPr>
                <w:sz w:val="24"/>
                <w:szCs w:val="21"/>
              </w:rPr>
            </w:pPr>
            <w:r>
              <w:rPr>
                <w:rFonts w:hint="eastAsia"/>
                <w:sz w:val="24"/>
                <w:szCs w:val="21"/>
              </w:rPr>
              <w:t>项目大类</w:t>
            </w:r>
          </w:p>
        </w:tc>
        <w:tc>
          <w:tcPr>
            <w:tcW w:w="1481" w:type="dxa"/>
            <w:vAlign w:val="center"/>
          </w:tcPr>
          <w:p>
            <w:pPr>
              <w:spacing w:line="0" w:lineRule="atLeast"/>
              <w:ind w:firstLine="0" w:firstLineChars="0"/>
              <w:jc w:val="center"/>
              <w:rPr>
                <w:sz w:val="24"/>
                <w:szCs w:val="21"/>
              </w:rPr>
            </w:pPr>
            <w:r>
              <w:rPr>
                <w:rFonts w:hint="eastAsia"/>
                <w:sz w:val="24"/>
                <w:szCs w:val="21"/>
              </w:rPr>
              <w:t>项目小类</w:t>
            </w:r>
          </w:p>
        </w:tc>
        <w:tc>
          <w:tcPr>
            <w:tcW w:w="4129" w:type="dxa"/>
            <w:vAlign w:val="center"/>
          </w:tcPr>
          <w:p>
            <w:pPr>
              <w:spacing w:line="0" w:lineRule="atLeast"/>
              <w:ind w:firstLine="0" w:firstLineChars="0"/>
              <w:jc w:val="center"/>
              <w:rPr>
                <w:sz w:val="24"/>
                <w:szCs w:val="21"/>
              </w:rPr>
            </w:pPr>
            <w:r>
              <w:rPr>
                <w:rFonts w:hint="eastAsia"/>
                <w:sz w:val="24"/>
                <w:szCs w:val="21"/>
              </w:rPr>
              <w:t>建设内容</w:t>
            </w:r>
          </w:p>
        </w:tc>
        <w:tc>
          <w:tcPr>
            <w:tcW w:w="1650" w:type="dxa"/>
            <w:vAlign w:val="center"/>
          </w:tcPr>
          <w:p>
            <w:pPr>
              <w:spacing w:line="0" w:lineRule="atLeast"/>
              <w:ind w:firstLine="0" w:firstLineChars="0"/>
              <w:jc w:val="center"/>
              <w:rPr>
                <w:sz w:val="24"/>
                <w:szCs w:val="21"/>
              </w:rPr>
            </w:pPr>
            <w:r>
              <w:rPr>
                <w:rFonts w:hint="eastAsia"/>
                <w:sz w:val="24"/>
                <w:szCs w:val="21"/>
              </w:rPr>
              <w:t>建设地点</w:t>
            </w:r>
          </w:p>
        </w:tc>
        <w:tc>
          <w:tcPr>
            <w:tcW w:w="1252" w:type="dxa"/>
            <w:vAlign w:val="center"/>
          </w:tcPr>
          <w:p>
            <w:pPr>
              <w:spacing w:line="0" w:lineRule="atLeast"/>
              <w:ind w:firstLine="0" w:firstLineChars="0"/>
              <w:jc w:val="center"/>
              <w:rPr>
                <w:sz w:val="24"/>
                <w:szCs w:val="21"/>
              </w:rPr>
            </w:pPr>
            <w:r>
              <w:rPr>
                <w:rFonts w:hint="eastAsia"/>
                <w:sz w:val="24"/>
                <w:szCs w:val="21"/>
              </w:rPr>
              <w:t>用地性质</w:t>
            </w:r>
          </w:p>
        </w:tc>
        <w:tc>
          <w:tcPr>
            <w:tcW w:w="709" w:type="dxa"/>
            <w:vAlign w:val="center"/>
          </w:tcPr>
          <w:p>
            <w:pPr>
              <w:spacing w:line="0" w:lineRule="atLeast"/>
              <w:ind w:firstLine="0" w:firstLineChars="0"/>
              <w:jc w:val="center"/>
              <w:rPr>
                <w:sz w:val="24"/>
                <w:szCs w:val="21"/>
              </w:rPr>
            </w:pPr>
            <w:r>
              <w:rPr>
                <w:rFonts w:hint="eastAsia"/>
                <w:sz w:val="24"/>
                <w:szCs w:val="21"/>
              </w:rPr>
              <w:t>建设期限</w:t>
            </w:r>
          </w:p>
        </w:tc>
        <w:tc>
          <w:tcPr>
            <w:tcW w:w="1134" w:type="dxa"/>
            <w:vAlign w:val="center"/>
          </w:tcPr>
          <w:p>
            <w:pPr>
              <w:spacing w:line="0" w:lineRule="atLeast"/>
              <w:ind w:firstLine="0" w:firstLineChars="0"/>
              <w:jc w:val="center"/>
              <w:rPr>
                <w:sz w:val="24"/>
                <w:szCs w:val="21"/>
              </w:rPr>
            </w:pPr>
            <w:r>
              <w:rPr>
                <w:rFonts w:hint="eastAsia"/>
                <w:sz w:val="24"/>
                <w:szCs w:val="21"/>
              </w:rPr>
              <w:t>牵头单位</w:t>
            </w:r>
          </w:p>
        </w:tc>
        <w:tc>
          <w:tcPr>
            <w:tcW w:w="1134" w:type="dxa"/>
            <w:vAlign w:val="center"/>
          </w:tcPr>
          <w:p>
            <w:pPr>
              <w:spacing w:line="0" w:lineRule="atLeast"/>
              <w:ind w:firstLine="0" w:firstLineChars="0"/>
              <w:jc w:val="center"/>
              <w:rPr>
                <w:sz w:val="24"/>
                <w:szCs w:val="21"/>
              </w:rPr>
            </w:pPr>
            <w:r>
              <w:rPr>
                <w:rFonts w:hint="eastAsia"/>
                <w:sz w:val="24"/>
                <w:szCs w:val="21"/>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235" w:type="dxa"/>
            <w:vAlign w:val="center"/>
          </w:tcPr>
          <w:p>
            <w:pPr>
              <w:spacing w:line="0" w:lineRule="atLeast"/>
              <w:ind w:firstLine="0" w:firstLineChars="0"/>
              <w:jc w:val="center"/>
              <w:rPr>
                <w:sz w:val="28"/>
                <w:szCs w:val="22"/>
              </w:rPr>
            </w:pPr>
            <w:r>
              <w:rPr>
                <w:rFonts w:hint="eastAsia"/>
                <w:sz w:val="24"/>
                <w:szCs w:val="21"/>
              </w:rPr>
              <w:t>应急管理重点工程</w:t>
            </w:r>
          </w:p>
        </w:tc>
        <w:tc>
          <w:tcPr>
            <w:tcW w:w="1481" w:type="dxa"/>
            <w:vAlign w:val="center"/>
          </w:tcPr>
          <w:p>
            <w:pPr>
              <w:spacing w:line="0" w:lineRule="atLeast"/>
              <w:ind w:firstLine="0" w:firstLineChars="0"/>
              <w:jc w:val="center"/>
              <w:rPr>
                <w:sz w:val="24"/>
                <w:szCs w:val="21"/>
              </w:rPr>
            </w:pPr>
            <w:r>
              <w:rPr>
                <w:rFonts w:hint="eastAsia"/>
                <w:sz w:val="24"/>
                <w:szCs w:val="21"/>
              </w:rPr>
              <w:t>片区应急指挥分中心建设工程</w:t>
            </w:r>
          </w:p>
          <w:p>
            <w:pPr>
              <w:spacing w:line="0" w:lineRule="atLeast"/>
              <w:ind w:firstLine="480"/>
              <w:jc w:val="center"/>
              <w:rPr>
                <w:sz w:val="24"/>
                <w:szCs w:val="21"/>
              </w:rPr>
            </w:pPr>
          </w:p>
        </w:tc>
        <w:tc>
          <w:tcPr>
            <w:tcW w:w="4129" w:type="dxa"/>
            <w:vAlign w:val="center"/>
          </w:tcPr>
          <w:p>
            <w:pPr>
              <w:spacing w:line="0" w:lineRule="atLeast"/>
              <w:ind w:firstLine="480"/>
              <w:jc w:val="left"/>
              <w:rPr>
                <w:sz w:val="24"/>
                <w:szCs w:val="21"/>
              </w:rPr>
            </w:pPr>
            <w:r>
              <w:rPr>
                <w:rFonts w:hint="eastAsia"/>
                <w:sz w:val="24"/>
                <w:szCs w:val="21"/>
              </w:rPr>
              <w:t>依托东山镇、回澜镇、通旅镇政府专职消防站建设应急指挥分中心，配备融合通信系统、多媒体会议系统、应急管理系统、媒体录制系统、调度台、智能终端、视频接入网关、集群接入网关、电话接入网关等。</w:t>
            </w:r>
          </w:p>
        </w:tc>
        <w:tc>
          <w:tcPr>
            <w:tcW w:w="1650" w:type="dxa"/>
            <w:vAlign w:val="center"/>
          </w:tcPr>
          <w:p>
            <w:pPr>
              <w:spacing w:line="0" w:lineRule="atLeast"/>
              <w:ind w:firstLine="0" w:firstLineChars="0"/>
              <w:jc w:val="left"/>
              <w:rPr>
                <w:rFonts w:hint="eastAsia"/>
                <w:sz w:val="24"/>
                <w:szCs w:val="21"/>
              </w:rPr>
            </w:pPr>
            <w:r>
              <w:rPr>
                <w:rFonts w:hint="eastAsia"/>
                <w:sz w:val="24"/>
                <w:szCs w:val="21"/>
              </w:rPr>
              <w:t>东山镇、回澜镇、通旅镇</w:t>
            </w:r>
          </w:p>
          <w:p>
            <w:pPr>
              <w:spacing w:line="0" w:lineRule="atLeast"/>
              <w:ind w:firstLine="480"/>
              <w:jc w:val="center"/>
              <w:rPr>
                <w:sz w:val="24"/>
                <w:szCs w:val="21"/>
              </w:rPr>
            </w:pPr>
          </w:p>
        </w:tc>
        <w:tc>
          <w:tcPr>
            <w:tcW w:w="1252" w:type="dxa"/>
            <w:vAlign w:val="center"/>
          </w:tcPr>
          <w:p>
            <w:pPr>
              <w:spacing w:line="0" w:lineRule="atLeast"/>
              <w:ind w:firstLine="0" w:firstLineChars="0"/>
              <w:jc w:val="center"/>
              <w:rPr>
                <w:rFonts w:hint="eastAsia"/>
                <w:sz w:val="24"/>
                <w:szCs w:val="21"/>
              </w:rPr>
            </w:pPr>
            <w:r>
              <w:rPr>
                <w:rFonts w:hint="eastAsia"/>
                <w:sz w:val="24"/>
                <w:szCs w:val="21"/>
              </w:rPr>
              <w:t>利旧</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2"/>
                <w:szCs w:val="20"/>
              </w:rPr>
            </w:pPr>
            <w:r>
              <w:rPr>
                <w:sz w:val="24"/>
                <w:szCs w:val="21"/>
              </w:rPr>
              <w:t>600</w:t>
            </w:r>
            <w:r>
              <w:rPr>
                <w:rFonts w:hint="eastAsia"/>
                <w:sz w:val="22"/>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235" w:type="dxa"/>
            <w:vAlign w:val="center"/>
          </w:tcPr>
          <w:p>
            <w:pPr>
              <w:spacing w:line="0" w:lineRule="atLeast"/>
              <w:ind w:firstLine="0" w:firstLineChars="0"/>
              <w:jc w:val="center"/>
              <w:rPr>
                <w:rFonts w:hint="eastAsia"/>
                <w:sz w:val="24"/>
                <w:szCs w:val="21"/>
              </w:rPr>
            </w:pPr>
            <w:r>
              <w:rPr>
                <w:rFonts w:hint="eastAsia"/>
                <w:sz w:val="24"/>
                <w:szCs w:val="21"/>
              </w:rPr>
              <w:t>安全生产风险防控重点工程</w:t>
            </w:r>
          </w:p>
        </w:tc>
        <w:tc>
          <w:tcPr>
            <w:tcW w:w="1481" w:type="dxa"/>
            <w:vAlign w:val="center"/>
          </w:tcPr>
          <w:p>
            <w:pPr>
              <w:spacing w:line="0" w:lineRule="atLeast"/>
              <w:ind w:firstLine="0" w:firstLineChars="0"/>
              <w:jc w:val="center"/>
              <w:rPr>
                <w:rFonts w:hint="eastAsia"/>
                <w:sz w:val="24"/>
                <w:szCs w:val="21"/>
              </w:rPr>
            </w:pPr>
            <w:r>
              <w:rPr>
                <w:rFonts w:hint="eastAsia"/>
                <w:sz w:val="24"/>
                <w:szCs w:val="21"/>
              </w:rPr>
              <w:t>安全生产风险监测预警系统工程</w:t>
            </w:r>
          </w:p>
        </w:tc>
        <w:tc>
          <w:tcPr>
            <w:tcW w:w="4129" w:type="dxa"/>
            <w:vAlign w:val="center"/>
          </w:tcPr>
          <w:p>
            <w:pPr>
              <w:spacing w:line="0" w:lineRule="atLeast"/>
              <w:ind w:firstLine="480"/>
              <w:jc w:val="center"/>
              <w:rPr>
                <w:rFonts w:hint="eastAsia"/>
                <w:sz w:val="24"/>
                <w:szCs w:val="21"/>
              </w:rPr>
            </w:pPr>
            <w:r>
              <w:rPr>
                <w:rFonts w:hint="eastAsia"/>
                <w:sz w:val="24"/>
                <w:szCs w:val="21"/>
              </w:rPr>
              <w:t>建设应急管理综合信息平台，包含开发电脑管理端和改造引动</w:t>
            </w:r>
            <w:r>
              <w:rPr>
                <w:sz w:val="24"/>
                <w:szCs w:val="21"/>
              </w:rPr>
              <w:t>app</w:t>
            </w:r>
            <w:r>
              <w:rPr>
                <w:rFonts w:hint="eastAsia"/>
                <w:sz w:val="24"/>
                <w:szCs w:val="21"/>
              </w:rPr>
              <w:t>端</w:t>
            </w:r>
          </w:p>
        </w:tc>
        <w:tc>
          <w:tcPr>
            <w:tcW w:w="1650" w:type="dxa"/>
            <w:vAlign w:val="center"/>
          </w:tcPr>
          <w:p>
            <w:pPr>
              <w:spacing w:line="0" w:lineRule="atLeast"/>
              <w:ind w:firstLine="0" w:firstLineChars="0"/>
              <w:jc w:val="left"/>
              <w:rPr>
                <w:rFonts w:hint="eastAsia"/>
                <w:sz w:val="24"/>
                <w:szCs w:val="21"/>
              </w:rPr>
            </w:pPr>
            <w:r>
              <w:rPr>
                <w:rFonts w:hint="eastAsia"/>
                <w:sz w:val="24"/>
                <w:szCs w:val="21"/>
              </w:rPr>
              <w:t>烟花爆竹企业、6家非煤矿山企业、7家加油站</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sz w:val="24"/>
                <w:szCs w:val="21"/>
              </w:rPr>
            </w:pPr>
            <w:r>
              <w:rPr>
                <w:rFonts w:hint="eastAsia"/>
                <w:sz w:val="24"/>
                <w:szCs w:val="21"/>
              </w:rPr>
              <w:t>5</w:t>
            </w:r>
            <w:r>
              <w:rPr>
                <w:sz w:val="24"/>
                <w:szCs w:val="21"/>
              </w:rPr>
              <w:t>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35" w:type="dxa"/>
            <w:vMerge w:val="restart"/>
            <w:vAlign w:val="center"/>
          </w:tcPr>
          <w:p>
            <w:pPr>
              <w:spacing w:line="0" w:lineRule="atLeast"/>
              <w:ind w:firstLine="0" w:firstLineChars="0"/>
              <w:jc w:val="center"/>
              <w:rPr>
                <w:rFonts w:hint="eastAsia"/>
                <w:sz w:val="24"/>
                <w:szCs w:val="21"/>
              </w:rPr>
            </w:pPr>
            <w:r>
              <w:rPr>
                <w:rFonts w:hint="eastAsia"/>
                <w:sz w:val="24"/>
                <w:szCs w:val="21"/>
              </w:rPr>
              <w:t>自然灾害防治重点工程</w:t>
            </w:r>
          </w:p>
        </w:tc>
        <w:tc>
          <w:tcPr>
            <w:tcW w:w="1481" w:type="dxa"/>
            <w:vAlign w:val="center"/>
          </w:tcPr>
          <w:p>
            <w:pPr>
              <w:ind w:firstLine="0" w:firstLineChars="0"/>
              <w:jc w:val="center"/>
              <w:rPr>
                <w:rFonts w:hint="eastAsia"/>
                <w:sz w:val="24"/>
                <w:szCs w:val="21"/>
              </w:rPr>
            </w:pPr>
            <w:r>
              <w:rPr>
                <w:rFonts w:hint="eastAsia"/>
                <w:sz w:val="24"/>
                <w:szCs w:val="21"/>
              </w:rPr>
              <w:t>防汛抗洪能力提升工程</w:t>
            </w:r>
          </w:p>
        </w:tc>
        <w:tc>
          <w:tcPr>
            <w:tcW w:w="4129" w:type="dxa"/>
            <w:vAlign w:val="center"/>
          </w:tcPr>
          <w:p>
            <w:pPr>
              <w:spacing w:line="0" w:lineRule="atLeast"/>
              <w:ind w:firstLine="480"/>
              <w:jc w:val="left"/>
              <w:rPr>
                <w:rFonts w:hint="eastAsia"/>
                <w:sz w:val="24"/>
                <w:szCs w:val="21"/>
              </w:rPr>
            </w:pPr>
            <w:r>
              <w:rPr>
                <w:rFonts w:hint="eastAsia"/>
                <w:sz w:val="24"/>
                <w:szCs w:val="21"/>
              </w:rPr>
              <w:t>规划乡镇镇区防洪标准为20年一遇，农村集中居住点防洪标准为10年一遇，在片区内13个山洪灾害危险点进行复核及危险区分级管理，增设防洪设施和监测设备，对片区内24座水库定期进行安全鉴定，完成剩余水库的除险加固。</w:t>
            </w:r>
          </w:p>
        </w:tc>
        <w:tc>
          <w:tcPr>
            <w:tcW w:w="1650" w:type="dxa"/>
            <w:vAlign w:val="center"/>
          </w:tcPr>
          <w:p>
            <w:pPr>
              <w:spacing w:line="0" w:lineRule="atLeast"/>
              <w:ind w:firstLine="0" w:firstLineChars="0"/>
              <w:jc w:val="left"/>
              <w:rPr>
                <w:rFonts w:hint="eastAsia"/>
                <w:sz w:val="24"/>
                <w:szCs w:val="21"/>
              </w:rPr>
            </w:pPr>
            <w:r>
              <w:rPr>
                <w:rFonts w:hint="eastAsia"/>
                <w:sz w:val="24"/>
                <w:szCs w:val="21"/>
              </w:rPr>
              <w:t>片区各乡镇，13个山洪灾害危险点、24座水库</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8</w:t>
            </w:r>
            <w:r>
              <w:rPr>
                <w:sz w:val="24"/>
                <w:szCs w:val="21"/>
              </w:rPr>
              <w:t>00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35" w:type="dxa"/>
            <w:vMerge w:val="continue"/>
            <w:vAlign w:val="center"/>
          </w:tcPr>
          <w:p>
            <w:pPr>
              <w:spacing w:line="0" w:lineRule="atLeast"/>
              <w:ind w:firstLine="0" w:firstLineChars="0"/>
              <w:jc w:val="center"/>
              <w:rPr>
                <w:rFonts w:hint="eastAsia"/>
                <w:sz w:val="24"/>
                <w:szCs w:val="21"/>
              </w:rPr>
            </w:pPr>
          </w:p>
        </w:tc>
        <w:tc>
          <w:tcPr>
            <w:tcW w:w="1481" w:type="dxa"/>
            <w:vAlign w:val="center"/>
          </w:tcPr>
          <w:p>
            <w:pPr>
              <w:ind w:firstLine="0" w:firstLineChars="0"/>
              <w:jc w:val="center"/>
              <w:rPr>
                <w:rFonts w:hint="eastAsia"/>
                <w:sz w:val="24"/>
                <w:szCs w:val="21"/>
              </w:rPr>
            </w:pPr>
            <w:r>
              <w:rPr>
                <w:rFonts w:hint="eastAsia"/>
                <w:sz w:val="24"/>
                <w:szCs w:val="21"/>
              </w:rPr>
              <w:t>地质灾害防治工程</w:t>
            </w:r>
          </w:p>
        </w:tc>
        <w:tc>
          <w:tcPr>
            <w:tcW w:w="4129" w:type="dxa"/>
            <w:vAlign w:val="center"/>
          </w:tcPr>
          <w:p>
            <w:pPr>
              <w:spacing w:line="0" w:lineRule="atLeast"/>
              <w:ind w:firstLine="480"/>
              <w:jc w:val="left"/>
              <w:rPr>
                <w:rFonts w:hint="eastAsia"/>
                <w:sz w:val="24"/>
                <w:szCs w:val="21"/>
              </w:rPr>
            </w:pPr>
            <w:r>
              <w:rPr>
                <w:rFonts w:hint="eastAsia"/>
                <w:sz w:val="24"/>
                <w:szCs w:val="21"/>
              </w:rPr>
              <w:t>片区内8处地质灾害隐患点安装监测预警设备，实施排危除险。</w:t>
            </w:r>
          </w:p>
        </w:tc>
        <w:tc>
          <w:tcPr>
            <w:tcW w:w="1650" w:type="dxa"/>
            <w:vAlign w:val="center"/>
          </w:tcPr>
          <w:p>
            <w:pPr>
              <w:spacing w:line="0" w:lineRule="atLeast"/>
              <w:ind w:firstLine="0" w:firstLineChars="0"/>
              <w:jc w:val="left"/>
              <w:rPr>
                <w:rFonts w:hint="eastAsia"/>
                <w:sz w:val="24"/>
                <w:szCs w:val="21"/>
              </w:rPr>
            </w:pPr>
            <w:r>
              <w:rPr>
                <w:rFonts w:hint="eastAsia"/>
                <w:sz w:val="24"/>
                <w:szCs w:val="21"/>
              </w:rPr>
              <w:t>石湍镇、通旅镇和双河场乡地质灾害</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县自然资源和规划局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1</w:t>
            </w:r>
            <w:r>
              <w:rPr>
                <w:sz w:val="24"/>
                <w:szCs w:val="21"/>
              </w:rPr>
              <w:t>60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35" w:type="dxa"/>
            <w:vMerge w:val="continue"/>
            <w:vAlign w:val="center"/>
          </w:tcPr>
          <w:p>
            <w:pPr>
              <w:spacing w:line="0" w:lineRule="atLeast"/>
              <w:ind w:firstLine="0" w:firstLineChars="0"/>
              <w:jc w:val="center"/>
              <w:rPr>
                <w:rFonts w:hint="eastAsia"/>
                <w:sz w:val="24"/>
                <w:szCs w:val="21"/>
              </w:rPr>
            </w:pPr>
          </w:p>
        </w:tc>
        <w:tc>
          <w:tcPr>
            <w:tcW w:w="1481" w:type="dxa"/>
            <w:vAlign w:val="center"/>
          </w:tcPr>
          <w:p>
            <w:pPr>
              <w:ind w:firstLine="0" w:firstLineChars="0"/>
              <w:jc w:val="center"/>
              <w:rPr>
                <w:rFonts w:hint="eastAsia"/>
                <w:sz w:val="24"/>
                <w:szCs w:val="21"/>
              </w:rPr>
            </w:pPr>
            <w:r>
              <w:rPr>
                <w:rFonts w:hint="eastAsia"/>
                <w:sz w:val="24"/>
                <w:szCs w:val="21"/>
              </w:rPr>
              <w:t>森林火灾防治工程</w:t>
            </w:r>
          </w:p>
        </w:tc>
        <w:tc>
          <w:tcPr>
            <w:tcW w:w="4129" w:type="dxa"/>
            <w:vAlign w:val="center"/>
          </w:tcPr>
          <w:p>
            <w:pPr>
              <w:spacing w:line="0" w:lineRule="atLeast"/>
              <w:ind w:firstLine="480"/>
              <w:jc w:val="left"/>
              <w:rPr>
                <w:rFonts w:hint="eastAsia"/>
                <w:sz w:val="24"/>
                <w:szCs w:val="21"/>
              </w:rPr>
            </w:pPr>
            <w:r>
              <w:rPr>
                <w:rFonts w:hint="eastAsia"/>
                <w:sz w:val="24"/>
                <w:szCs w:val="21"/>
              </w:rPr>
              <w:t>新建消防水池7口，在重点森林防火区域的村（社区）建设预警工作站，开发预警APP和预警微信公众号。</w:t>
            </w:r>
          </w:p>
        </w:tc>
        <w:tc>
          <w:tcPr>
            <w:tcW w:w="1650" w:type="dxa"/>
            <w:vAlign w:val="center"/>
          </w:tcPr>
          <w:p>
            <w:pPr>
              <w:spacing w:line="0" w:lineRule="atLeast"/>
              <w:ind w:firstLine="0" w:firstLineChars="0"/>
              <w:jc w:val="left"/>
              <w:rPr>
                <w:rFonts w:hint="eastAsia"/>
                <w:sz w:val="24"/>
                <w:szCs w:val="21"/>
              </w:rPr>
            </w:pPr>
            <w:r>
              <w:rPr>
                <w:rFonts w:hint="eastAsia"/>
                <w:sz w:val="24"/>
                <w:szCs w:val="21"/>
              </w:rPr>
              <w:t>东山镇马家井村、八角庙村、高隆庙村、方广村、凤凰村、大茅坪村；回澜镇乐安社区、五台山村、万安社区、油坊村、马锣寺村；石湍镇河东社区、桂花社区、玉峰山村；双河场乡西岳村。</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县林业局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1</w:t>
            </w:r>
            <w:r>
              <w:rPr>
                <w:sz w:val="24"/>
                <w:szCs w:val="21"/>
              </w:rPr>
              <w:t>00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235" w:type="dxa"/>
            <w:vMerge w:val="restart"/>
            <w:vAlign w:val="center"/>
          </w:tcPr>
          <w:p>
            <w:pPr>
              <w:spacing w:line="0" w:lineRule="atLeast"/>
              <w:ind w:firstLine="0" w:firstLineChars="0"/>
              <w:jc w:val="center"/>
              <w:rPr>
                <w:rFonts w:hint="eastAsia"/>
                <w:sz w:val="24"/>
                <w:szCs w:val="21"/>
              </w:rPr>
            </w:pPr>
            <w:r>
              <w:rPr>
                <w:rFonts w:hint="eastAsia"/>
                <w:sz w:val="24"/>
                <w:szCs w:val="21"/>
              </w:rPr>
              <w:t>应急能力建设工程</w:t>
            </w:r>
          </w:p>
        </w:tc>
        <w:tc>
          <w:tcPr>
            <w:tcW w:w="1481" w:type="dxa"/>
            <w:vAlign w:val="center"/>
          </w:tcPr>
          <w:p>
            <w:pPr>
              <w:ind w:firstLine="0" w:firstLineChars="0"/>
              <w:jc w:val="center"/>
              <w:rPr>
                <w:rFonts w:hint="eastAsia"/>
                <w:sz w:val="24"/>
                <w:szCs w:val="21"/>
              </w:rPr>
            </w:pPr>
            <w:r>
              <w:rPr>
                <w:rFonts w:hint="eastAsia"/>
                <w:sz w:val="24"/>
                <w:szCs w:val="21"/>
              </w:rPr>
              <w:t>消防救援站建设工程</w:t>
            </w:r>
          </w:p>
        </w:tc>
        <w:tc>
          <w:tcPr>
            <w:tcW w:w="4129" w:type="dxa"/>
            <w:vAlign w:val="center"/>
          </w:tcPr>
          <w:p>
            <w:pPr>
              <w:spacing w:line="0" w:lineRule="atLeast"/>
              <w:ind w:firstLine="480"/>
              <w:jc w:val="left"/>
              <w:rPr>
                <w:rFonts w:hint="eastAsia"/>
                <w:sz w:val="24"/>
                <w:szCs w:val="21"/>
              </w:rPr>
            </w:pPr>
            <w:r>
              <w:rPr>
                <w:rFonts w:hint="eastAsia"/>
                <w:sz w:val="24"/>
                <w:szCs w:val="21"/>
              </w:rPr>
              <w:t>在中心镇东山镇建立中心消防救援站，按照15-25人专职队伍、2-4台消防车的标准，并配备其他消防器材。</w:t>
            </w:r>
          </w:p>
        </w:tc>
        <w:tc>
          <w:tcPr>
            <w:tcW w:w="1650" w:type="dxa"/>
            <w:vAlign w:val="center"/>
          </w:tcPr>
          <w:p>
            <w:pPr>
              <w:spacing w:line="0" w:lineRule="atLeast"/>
              <w:ind w:firstLine="0" w:firstLineChars="0"/>
              <w:jc w:val="center"/>
              <w:rPr>
                <w:rFonts w:hint="eastAsia"/>
                <w:sz w:val="24"/>
                <w:szCs w:val="21"/>
              </w:rPr>
            </w:pPr>
            <w:r>
              <w:rPr>
                <w:rFonts w:hint="eastAsia"/>
                <w:sz w:val="24"/>
                <w:szCs w:val="21"/>
              </w:rPr>
              <w:t>东山镇</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利旧</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035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县消防救援大队</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1</w:t>
            </w:r>
            <w:r>
              <w:rPr>
                <w:sz w:val="24"/>
                <w:szCs w:val="21"/>
              </w:rPr>
              <w:t>000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235" w:type="dxa"/>
            <w:vMerge w:val="continue"/>
            <w:vAlign w:val="center"/>
          </w:tcPr>
          <w:p>
            <w:pPr>
              <w:spacing w:line="0" w:lineRule="atLeast"/>
              <w:ind w:firstLine="0" w:firstLineChars="0"/>
              <w:jc w:val="center"/>
              <w:rPr>
                <w:rFonts w:hint="eastAsia"/>
                <w:sz w:val="24"/>
                <w:szCs w:val="21"/>
              </w:rPr>
            </w:pPr>
          </w:p>
        </w:tc>
        <w:tc>
          <w:tcPr>
            <w:tcW w:w="1481" w:type="dxa"/>
            <w:vAlign w:val="center"/>
          </w:tcPr>
          <w:p>
            <w:pPr>
              <w:ind w:firstLine="0" w:firstLineChars="0"/>
              <w:jc w:val="center"/>
              <w:rPr>
                <w:rFonts w:hint="eastAsia"/>
                <w:sz w:val="24"/>
                <w:szCs w:val="21"/>
              </w:rPr>
            </w:pPr>
            <w:r>
              <w:rPr>
                <w:rFonts w:hint="eastAsia"/>
                <w:sz w:val="24"/>
                <w:szCs w:val="21"/>
              </w:rPr>
              <w:t>应急物资储备库（点）建设工程</w:t>
            </w:r>
          </w:p>
        </w:tc>
        <w:tc>
          <w:tcPr>
            <w:tcW w:w="4129" w:type="dxa"/>
            <w:vAlign w:val="center"/>
          </w:tcPr>
          <w:p>
            <w:pPr>
              <w:spacing w:line="0" w:lineRule="atLeast"/>
              <w:ind w:firstLine="480"/>
              <w:jc w:val="both"/>
              <w:rPr>
                <w:rFonts w:hint="eastAsia"/>
                <w:sz w:val="24"/>
                <w:szCs w:val="21"/>
              </w:rPr>
            </w:pPr>
            <w:r>
              <w:rPr>
                <w:rFonts w:hint="eastAsia"/>
                <w:sz w:val="24"/>
                <w:szCs w:val="21"/>
              </w:rPr>
              <w:t>改建/扩建各乡镇应急物资储备库、村（社区）应急物资储备点</w:t>
            </w:r>
          </w:p>
        </w:tc>
        <w:tc>
          <w:tcPr>
            <w:tcW w:w="1650" w:type="dxa"/>
            <w:vAlign w:val="center"/>
          </w:tcPr>
          <w:p>
            <w:pPr>
              <w:spacing w:line="0" w:lineRule="atLeast"/>
              <w:ind w:firstLine="0" w:firstLineChars="0"/>
              <w:jc w:val="center"/>
              <w:rPr>
                <w:rFonts w:hint="eastAsia"/>
                <w:sz w:val="24"/>
                <w:szCs w:val="21"/>
              </w:rPr>
            </w:pPr>
            <w:r>
              <w:rPr>
                <w:rFonts w:hint="eastAsia"/>
                <w:sz w:val="24"/>
                <w:szCs w:val="21"/>
              </w:rPr>
              <w:t>各乡村政府、各村（社区）</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利旧</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1</w:t>
            </w:r>
            <w:r>
              <w:rPr>
                <w:sz w:val="24"/>
                <w:szCs w:val="21"/>
              </w:rPr>
              <w:t>00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235" w:type="dxa"/>
            <w:vMerge w:val="continue"/>
            <w:vAlign w:val="center"/>
          </w:tcPr>
          <w:p>
            <w:pPr>
              <w:spacing w:line="0" w:lineRule="atLeast"/>
              <w:ind w:firstLine="0" w:firstLineChars="0"/>
              <w:jc w:val="center"/>
              <w:rPr>
                <w:rFonts w:hint="eastAsia"/>
                <w:sz w:val="24"/>
                <w:szCs w:val="21"/>
              </w:rPr>
            </w:pPr>
          </w:p>
        </w:tc>
        <w:tc>
          <w:tcPr>
            <w:tcW w:w="1481" w:type="dxa"/>
            <w:vAlign w:val="center"/>
          </w:tcPr>
          <w:p>
            <w:pPr>
              <w:ind w:firstLine="0" w:firstLineChars="0"/>
              <w:jc w:val="center"/>
              <w:rPr>
                <w:rFonts w:hint="eastAsia"/>
                <w:sz w:val="24"/>
                <w:szCs w:val="21"/>
              </w:rPr>
            </w:pPr>
            <w:r>
              <w:rPr>
                <w:rFonts w:hint="eastAsia"/>
                <w:sz w:val="24"/>
                <w:szCs w:val="21"/>
              </w:rPr>
              <w:t>应急避难场所标准化建设工程</w:t>
            </w:r>
          </w:p>
        </w:tc>
        <w:tc>
          <w:tcPr>
            <w:tcW w:w="4129" w:type="dxa"/>
            <w:vAlign w:val="center"/>
          </w:tcPr>
          <w:p>
            <w:pPr>
              <w:spacing w:line="0" w:lineRule="atLeast"/>
              <w:ind w:firstLine="480"/>
              <w:jc w:val="left"/>
              <w:rPr>
                <w:rFonts w:hint="eastAsia"/>
                <w:sz w:val="24"/>
                <w:szCs w:val="21"/>
              </w:rPr>
            </w:pPr>
            <w:r>
              <w:rPr>
                <w:rFonts w:hint="eastAsia"/>
                <w:sz w:val="24"/>
                <w:szCs w:val="21"/>
              </w:rPr>
              <w:t>实现片区人均避难场所达到1m2。利用村（社区）已有空地建设标准化避险安置点，保障地灾易发、森林火灾重点和较重点区域所在村（社区）群众紧急转移安置。</w:t>
            </w:r>
          </w:p>
        </w:tc>
        <w:tc>
          <w:tcPr>
            <w:tcW w:w="1650" w:type="dxa"/>
            <w:vAlign w:val="center"/>
          </w:tcPr>
          <w:p>
            <w:pPr>
              <w:spacing w:line="0" w:lineRule="atLeast"/>
              <w:ind w:firstLine="0" w:firstLineChars="0"/>
              <w:jc w:val="left"/>
              <w:rPr>
                <w:rFonts w:hint="eastAsia"/>
                <w:sz w:val="24"/>
                <w:szCs w:val="21"/>
              </w:rPr>
            </w:pPr>
            <w:r>
              <w:rPr>
                <w:rFonts w:hint="eastAsia"/>
                <w:sz w:val="24"/>
                <w:szCs w:val="21"/>
              </w:rPr>
              <w:t>东山镇人民政府广场、回澜镇吴元鑫小学、回澜镇中学、双河场乡文化广场、通旅镇应急避难场所、石湍镇综合应急避难场；场镇上各公共场所；</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利旧</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035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5</w:t>
            </w:r>
            <w:r>
              <w:rPr>
                <w:sz w:val="24"/>
                <w:szCs w:val="21"/>
              </w:rPr>
              <w:t>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235" w:type="dxa"/>
            <w:vAlign w:val="center"/>
          </w:tcPr>
          <w:p>
            <w:pPr>
              <w:spacing w:line="0" w:lineRule="atLeast"/>
              <w:ind w:firstLine="0" w:firstLineChars="0"/>
              <w:jc w:val="center"/>
              <w:rPr>
                <w:rFonts w:hint="eastAsia"/>
                <w:sz w:val="24"/>
                <w:szCs w:val="21"/>
              </w:rPr>
            </w:pPr>
            <w:r>
              <w:rPr>
                <w:rFonts w:hint="eastAsia"/>
                <w:sz w:val="24"/>
                <w:szCs w:val="21"/>
              </w:rPr>
              <w:t>现进技术应用重点工程</w:t>
            </w:r>
          </w:p>
        </w:tc>
        <w:tc>
          <w:tcPr>
            <w:tcW w:w="1481" w:type="dxa"/>
            <w:vAlign w:val="center"/>
          </w:tcPr>
          <w:p>
            <w:pPr>
              <w:ind w:firstLine="0" w:firstLineChars="0"/>
              <w:jc w:val="center"/>
              <w:rPr>
                <w:rFonts w:hint="eastAsia"/>
                <w:sz w:val="24"/>
                <w:szCs w:val="21"/>
              </w:rPr>
            </w:pPr>
            <w:r>
              <w:rPr>
                <w:rFonts w:hint="eastAsia"/>
                <w:sz w:val="24"/>
                <w:szCs w:val="21"/>
              </w:rPr>
              <w:t>应急广播建设工程</w:t>
            </w:r>
          </w:p>
        </w:tc>
        <w:tc>
          <w:tcPr>
            <w:tcW w:w="4129" w:type="dxa"/>
            <w:vAlign w:val="center"/>
          </w:tcPr>
          <w:p>
            <w:pPr>
              <w:spacing w:line="0" w:lineRule="atLeast"/>
              <w:ind w:firstLine="480"/>
              <w:jc w:val="left"/>
              <w:rPr>
                <w:rFonts w:hint="eastAsia"/>
                <w:sz w:val="24"/>
                <w:szCs w:val="21"/>
              </w:rPr>
            </w:pPr>
            <w:r>
              <w:rPr>
                <w:rFonts w:hint="eastAsia"/>
                <w:sz w:val="24"/>
                <w:szCs w:val="21"/>
              </w:rPr>
              <w:t>按标准化建设应急广播站70个，建设应急广播指挥调度系统、制作播出系统、信息安全系统以及备份系统，实现区域广播通话网络全覆盖、无死角。</w:t>
            </w:r>
          </w:p>
        </w:tc>
        <w:tc>
          <w:tcPr>
            <w:tcW w:w="1650" w:type="dxa"/>
            <w:vAlign w:val="center"/>
          </w:tcPr>
          <w:p>
            <w:pPr>
              <w:spacing w:line="0" w:lineRule="atLeast"/>
              <w:ind w:firstLine="0" w:firstLineChars="0"/>
              <w:jc w:val="left"/>
              <w:rPr>
                <w:rFonts w:hint="eastAsia"/>
                <w:sz w:val="24"/>
                <w:szCs w:val="21"/>
              </w:rPr>
            </w:pPr>
            <w:r>
              <w:rPr>
                <w:rFonts w:hint="eastAsia"/>
                <w:sz w:val="24"/>
                <w:szCs w:val="21"/>
              </w:rPr>
              <w:t>片区各乡镇、村（社区）广播点</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5</w:t>
            </w:r>
            <w:r>
              <w:rPr>
                <w:sz w:val="24"/>
                <w:szCs w:val="21"/>
              </w:rPr>
              <w:t>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35" w:type="dxa"/>
            <w:vMerge w:val="restart"/>
            <w:vAlign w:val="center"/>
          </w:tcPr>
          <w:p>
            <w:pPr>
              <w:spacing w:line="0" w:lineRule="atLeast"/>
              <w:ind w:firstLine="0" w:firstLineChars="0"/>
              <w:jc w:val="center"/>
              <w:rPr>
                <w:rFonts w:hint="eastAsia"/>
                <w:sz w:val="24"/>
                <w:szCs w:val="21"/>
              </w:rPr>
            </w:pPr>
            <w:r>
              <w:rPr>
                <w:rFonts w:hint="eastAsia"/>
                <w:sz w:val="24"/>
                <w:szCs w:val="21"/>
              </w:rPr>
              <w:t>共建共治共享重点工程</w:t>
            </w:r>
          </w:p>
        </w:tc>
        <w:tc>
          <w:tcPr>
            <w:tcW w:w="1481" w:type="dxa"/>
            <w:vAlign w:val="center"/>
          </w:tcPr>
          <w:p>
            <w:pPr>
              <w:ind w:firstLine="0" w:firstLineChars="0"/>
              <w:jc w:val="center"/>
              <w:rPr>
                <w:rFonts w:hint="eastAsia"/>
                <w:sz w:val="24"/>
                <w:szCs w:val="21"/>
              </w:rPr>
            </w:pPr>
            <w:r>
              <w:rPr>
                <w:rFonts w:hint="eastAsia"/>
                <w:sz w:val="24"/>
                <w:szCs w:val="21"/>
              </w:rPr>
              <w:t>应急科普进万家工程</w:t>
            </w:r>
          </w:p>
        </w:tc>
        <w:tc>
          <w:tcPr>
            <w:tcW w:w="4129" w:type="dxa"/>
            <w:vAlign w:val="center"/>
          </w:tcPr>
          <w:p>
            <w:pPr>
              <w:spacing w:line="0" w:lineRule="atLeast"/>
              <w:ind w:firstLine="480"/>
              <w:jc w:val="left"/>
              <w:rPr>
                <w:rFonts w:hint="eastAsia"/>
                <w:sz w:val="24"/>
                <w:szCs w:val="21"/>
              </w:rPr>
            </w:pPr>
            <w:r>
              <w:rPr>
                <w:rFonts w:hint="eastAsia"/>
                <w:sz w:val="24"/>
                <w:szCs w:val="21"/>
              </w:rPr>
              <w:t>按照“乡镇建站、村社设点”的原则，5个乡镇要有应急宣传站、70个村（社区）要有应急宣传点。增加应急知识科普书籍、应急管理时事资讯等。各乡镇利用防灾减灾日、安全生产月、消防宣传月等重要节点组织开展应急知识培训、竞赛类活动，通过活动分发家庭版应急救援包。</w:t>
            </w:r>
          </w:p>
        </w:tc>
        <w:tc>
          <w:tcPr>
            <w:tcW w:w="1650" w:type="dxa"/>
            <w:vAlign w:val="center"/>
          </w:tcPr>
          <w:p>
            <w:pPr>
              <w:spacing w:line="0" w:lineRule="atLeast"/>
              <w:ind w:firstLine="0" w:firstLineChars="0"/>
              <w:jc w:val="left"/>
              <w:rPr>
                <w:rFonts w:hint="eastAsia"/>
                <w:sz w:val="24"/>
                <w:szCs w:val="21"/>
              </w:rPr>
            </w:pPr>
            <w:r>
              <w:rPr>
                <w:rFonts w:hint="eastAsia"/>
                <w:sz w:val="24"/>
                <w:szCs w:val="21"/>
              </w:rPr>
              <w:t>乐至县东山林业蚕桑融合发展片区</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035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5</w:t>
            </w:r>
            <w:r>
              <w:rPr>
                <w:sz w:val="24"/>
                <w:szCs w:val="21"/>
              </w:rPr>
              <w:t>0</w:t>
            </w:r>
            <w:r>
              <w:rPr>
                <w:rFonts w:hint="eastAsia"/>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35" w:type="dxa"/>
            <w:vMerge w:val="continue"/>
            <w:vAlign w:val="center"/>
          </w:tcPr>
          <w:p>
            <w:pPr>
              <w:spacing w:line="0" w:lineRule="atLeast"/>
              <w:ind w:firstLine="0" w:firstLineChars="0"/>
              <w:jc w:val="center"/>
              <w:rPr>
                <w:rFonts w:hint="eastAsia"/>
                <w:sz w:val="24"/>
                <w:szCs w:val="21"/>
              </w:rPr>
            </w:pPr>
          </w:p>
        </w:tc>
        <w:tc>
          <w:tcPr>
            <w:tcW w:w="1481" w:type="dxa"/>
            <w:vAlign w:val="center"/>
          </w:tcPr>
          <w:p>
            <w:pPr>
              <w:ind w:firstLine="0" w:firstLineChars="0"/>
              <w:jc w:val="center"/>
              <w:rPr>
                <w:rFonts w:hint="eastAsia"/>
                <w:sz w:val="24"/>
                <w:szCs w:val="21"/>
              </w:rPr>
            </w:pPr>
            <w:r>
              <w:rPr>
                <w:rFonts w:hint="eastAsia"/>
                <w:sz w:val="24"/>
                <w:szCs w:val="21"/>
              </w:rPr>
              <w:t>基层应急治理示范工程</w:t>
            </w:r>
          </w:p>
        </w:tc>
        <w:tc>
          <w:tcPr>
            <w:tcW w:w="4129" w:type="dxa"/>
            <w:vAlign w:val="center"/>
          </w:tcPr>
          <w:p>
            <w:pPr>
              <w:spacing w:line="0" w:lineRule="atLeast"/>
              <w:ind w:firstLine="480"/>
              <w:jc w:val="both"/>
              <w:rPr>
                <w:rFonts w:hint="eastAsia"/>
                <w:sz w:val="24"/>
                <w:szCs w:val="21"/>
              </w:rPr>
            </w:pPr>
            <w:r>
              <w:rPr>
                <w:rFonts w:hint="eastAsia"/>
                <w:sz w:val="24"/>
                <w:szCs w:val="21"/>
              </w:rPr>
              <w:t>争创全国综合减灾示范社区1个</w:t>
            </w:r>
          </w:p>
        </w:tc>
        <w:tc>
          <w:tcPr>
            <w:tcW w:w="1650" w:type="dxa"/>
            <w:vAlign w:val="center"/>
          </w:tcPr>
          <w:p>
            <w:pPr>
              <w:spacing w:line="0" w:lineRule="atLeast"/>
              <w:ind w:firstLine="0" w:firstLineChars="0"/>
              <w:jc w:val="center"/>
              <w:rPr>
                <w:rFonts w:hint="eastAsia"/>
                <w:sz w:val="24"/>
                <w:szCs w:val="21"/>
              </w:rPr>
            </w:pPr>
            <w:r>
              <w:rPr>
                <w:rFonts w:hint="eastAsia"/>
                <w:sz w:val="24"/>
                <w:szCs w:val="21"/>
              </w:rPr>
              <w:t>东山镇</w:t>
            </w:r>
          </w:p>
        </w:tc>
        <w:tc>
          <w:tcPr>
            <w:tcW w:w="1252" w:type="dxa"/>
            <w:vAlign w:val="center"/>
          </w:tcPr>
          <w:p>
            <w:pPr>
              <w:spacing w:line="0" w:lineRule="atLeast"/>
              <w:ind w:firstLine="0" w:firstLineChars="0"/>
              <w:jc w:val="center"/>
              <w:rPr>
                <w:rFonts w:hint="eastAsia"/>
                <w:sz w:val="24"/>
                <w:szCs w:val="21"/>
              </w:rPr>
            </w:pPr>
            <w:r>
              <w:rPr>
                <w:rFonts w:hint="eastAsia"/>
                <w:sz w:val="24"/>
                <w:szCs w:val="21"/>
              </w:rPr>
              <w:t>无新占地</w:t>
            </w:r>
          </w:p>
        </w:tc>
        <w:tc>
          <w:tcPr>
            <w:tcW w:w="709" w:type="dxa"/>
            <w:vAlign w:val="center"/>
          </w:tcPr>
          <w:p>
            <w:pPr>
              <w:spacing w:line="0" w:lineRule="atLeast"/>
              <w:ind w:firstLine="0" w:firstLineChars="0"/>
              <w:jc w:val="center"/>
              <w:rPr>
                <w:rFonts w:hint="eastAsia"/>
                <w:sz w:val="24"/>
                <w:szCs w:val="21"/>
              </w:rPr>
            </w:pPr>
            <w:r>
              <w:rPr>
                <w:rFonts w:hint="eastAsia"/>
                <w:sz w:val="24"/>
                <w:szCs w:val="21"/>
              </w:rPr>
              <w:t>2</w:t>
            </w:r>
            <w:r>
              <w:rPr>
                <w:sz w:val="24"/>
                <w:szCs w:val="21"/>
              </w:rPr>
              <w:t>025</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县应急局</w:t>
            </w:r>
          </w:p>
        </w:tc>
        <w:tc>
          <w:tcPr>
            <w:tcW w:w="1134" w:type="dxa"/>
            <w:vAlign w:val="center"/>
          </w:tcPr>
          <w:p>
            <w:pPr>
              <w:spacing w:line="0" w:lineRule="atLeast"/>
              <w:ind w:firstLine="0" w:firstLineChars="0"/>
              <w:jc w:val="center"/>
              <w:rPr>
                <w:rFonts w:hint="eastAsia"/>
                <w:sz w:val="24"/>
                <w:szCs w:val="21"/>
              </w:rPr>
            </w:pPr>
            <w:r>
              <w:rPr>
                <w:rFonts w:hint="eastAsia"/>
                <w:sz w:val="24"/>
                <w:szCs w:val="21"/>
              </w:rPr>
              <w:t>5</w:t>
            </w:r>
            <w:r>
              <w:rPr>
                <w:sz w:val="24"/>
                <w:szCs w:val="21"/>
              </w:rPr>
              <w:t>0</w:t>
            </w:r>
            <w:r>
              <w:rPr>
                <w:rFonts w:hint="eastAsia"/>
                <w:sz w:val="24"/>
                <w:szCs w:val="21"/>
              </w:rPr>
              <w:t>万元</w:t>
            </w:r>
          </w:p>
        </w:tc>
      </w:tr>
    </w:tbl>
    <w:p>
      <w:pPr>
        <w:pStyle w:val="2"/>
        <w:ind w:firstLine="723"/>
      </w:pPr>
    </w:p>
    <w:sectPr>
      <w:pgSz w:w="16838" w:h="11906" w:orient="landscape"/>
      <w:pgMar w:top="1587" w:right="2098" w:bottom="1474" w:left="1984" w:header="851" w:footer="992" w:gutter="0"/>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164DF2-D1F7-41FD-A5B3-CC1ECA28C3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2F8A4C92-8FE8-4CC8-A104-77A556078768}"/>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489BCEAE-49DD-4658-A87D-A673BFB7218C}"/>
  </w:font>
  <w:font w:name="方正小标宋_GBK">
    <w:panose1 w:val="02000000000000000000"/>
    <w:charset w:val="86"/>
    <w:family w:val="auto"/>
    <w:pitch w:val="default"/>
    <w:sig w:usb0="A00002BF" w:usb1="38CF7CFA" w:usb2="00082016" w:usb3="00000000" w:csb0="00040001" w:csb1="00000000"/>
    <w:embedRegular r:id="rId4" w:fontKey="{72C4F769-465E-4683-BFA8-20FBA3C537B2}"/>
  </w:font>
  <w:font w:name="楷体">
    <w:panose1 w:val="02010609060101010101"/>
    <w:charset w:val="86"/>
    <w:family w:val="modern"/>
    <w:pitch w:val="default"/>
    <w:sig w:usb0="800002BF" w:usb1="38CF7CFA" w:usb2="00000016" w:usb3="00000000" w:csb0="00040001" w:csb1="00000000"/>
    <w:embedRegular r:id="rId5" w:fontKey="{D9FE674C-8FDF-4D09-A27E-EBEEDBE99D48}"/>
  </w:font>
  <w:font w:name="方正仿宋_GBK">
    <w:panose1 w:val="02000000000000000000"/>
    <w:charset w:val="86"/>
    <w:family w:val="auto"/>
    <w:pitch w:val="default"/>
    <w:sig w:usb0="A00002BF" w:usb1="38CF7CFA" w:usb2="00082016" w:usb3="00000000" w:csb0="00040001" w:csb1="00000000"/>
    <w:embedRegular r:id="rId6" w:fontKey="{C064741B-FDE5-465B-B039-95A302E17579}"/>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r>
                            <w:t>—</w:t>
                          </w:r>
                          <w:r>
                            <w:fldChar w:fldCharType="begin"/>
                          </w:r>
                          <w:r>
                            <w:instrText xml:space="preserve"> PAGE  \* MERGEFORMAT </w:instrText>
                          </w:r>
                          <w:r>
                            <w:fldChar w:fldCharType="separate"/>
                          </w:r>
                          <w:r>
                            <w:t>1</w:t>
                          </w:r>
                          <w:r>
                            <w:fldChar w:fldCharType="end"/>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ind w:firstLine="360"/>
                    </w:pPr>
                    <w:r>
                      <w:t>—</w:t>
                    </w:r>
                    <w:r>
                      <w:fldChar w:fldCharType="begin"/>
                    </w:r>
                    <w:r>
                      <w:instrText xml:space="preserve"> PAGE  \* MERGEFORMAT </w:instrText>
                    </w:r>
                    <w:r>
                      <w:fldChar w:fldCharType="separate"/>
                    </w:r>
                    <w:r>
                      <w:t>1</w:t>
                    </w:r>
                    <w:r>
                      <w:fldChar w:fldCharType="end"/>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28192"/>
    <w:multiLevelType w:val="singleLevel"/>
    <w:tmpl w:val="09128192"/>
    <w:lvl w:ilvl="0" w:tentative="0">
      <w:start w:val="1"/>
      <w:numFmt w:val="chineseCounting"/>
      <w:suff w:val="nothing"/>
      <w:lvlText w:val="（%1）"/>
      <w:lvlJc w:val="left"/>
      <w:rPr>
        <w:rFonts w:hint="eastAsia"/>
      </w:rPr>
    </w:lvl>
  </w:abstractNum>
  <w:abstractNum w:abstractNumId="1">
    <w:nsid w:val="32D94485"/>
    <w:multiLevelType w:val="singleLevel"/>
    <w:tmpl w:val="32D94485"/>
    <w:lvl w:ilvl="0" w:tentative="0">
      <w:start w:val="2"/>
      <w:numFmt w:val="chineseCounting"/>
      <w:suff w:val="nothing"/>
      <w:lvlText w:val="（%1）"/>
      <w:lvlJc w:val="left"/>
      <w:rPr>
        <w:rFonts w:hint="eastAsia"/>
      </w:rPr>
    </w:lvl>
  </w:abstractNum>
  <w:abstractNum w:abstractNumId="2">
    <w:nsid w:val="4C4F2F99"/>
    <w:multiLevelType w:val="multilevel"/>
    <w:tmpl w:val="4C4F2F99"/>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hNTlhZTRlN2I4NmNjZThjODRiYjFkMzYwZWIxZjUifQ=="/>
  </w:docVars>
  <w:rsids>
    <w:rsidRoot w:val="4FC0735D"/>
    <w:rsid w:val="00086EC5"/>
    <w:rsid w:val="003E5060"/>
    <w:rsid w:val="003E7A09"/>
    <w:rsid w:val="00450CCC"/>
    <w:rsid w:val="005977F2"/>
    <w:rsid w:val="005F431F"/>
    <w:rsid w:val="007274EF"/>
    <w:rsid w:val="0077256A"/>
    <w:rsid w:val="007C4F60"/>
    <w:rsid w:val="007C794C"/>
    <w:rsid w:val="009B0BB8"/>
    <w:rsid w:val="00D60A1F"/>
    <w:rsid w:val="00D72D8C"/>
    <w:rsid w:val="00E2677C"/>
    <w:rsid w:val="00EB65CB"/>
    <w:rsid w:val="00F45376"/>
    <w:rsid w:val="00FD5B70"/>
    <w:rsid w:val="00FD7374"/>
    <w:rsid w:val="02257322"/>
    <w:rsid w:val="023752C1"/>
    <w:rsid w:val="038602A5"/>
    <w:rsid w:val="03AE2FC5"/>
    <w:rsid w:val="046D0B11"/>
    <w:rsid w:val="05A052DE"/>
    <w:rsid w:val="06604E4C"/>
    <w:rsid w:val="084714AA"/>
    <w:rsid w:val="0912592B"/>
    <w:rsid w:val="0D272329"/>
    <w:rsid w:val="0D2D1531"/>
    <w:rsid w:val="0E6275B3"/>
    <w:rsid w:val="0E76520D"/>
    <w:rsid w:val="0E9C279A"/>
    <w:rsid w:val="104B386B"/>
    <w:rsid w:val="135E4F6E"/>
    <w:rsid w:val="13C916FC"/>
    <w:rsid w:val="16712BB6"/>
    <w:rsid w:val="190F022E"/>
    <w:rsid w:val="1E226DC9"/>
    <w:rsid w:val="1F3E6344"/>
    <w:rsid w:val="22162A2D"/>
    <w:rsid w:val="22792AE5"/>
    <w:rsid w:val="2AAC77EA"/>
    <w:rsid w:val="2FE52A94"/>
    <w:rsid w:val="30DA7426"/>
    <w:rsid w:val="310E2706"/>
    <w:rsid w:val="34D36666"/>
    <w:rsid w:val="35461A35"/>
    <w:rsid w:val="37060F75"/>
    <w:rsid w:val="38C53AAC"/>
    <w:rsid w:val="3A6164C2"/>
    <w:rsid w:val="3B824125"/>
    <w:rsid w:val="3C6745BE"/>
    <w:rsid w:val="3D175D89"/>
    <w:rsid w:val="3D4F57AE"/>
    <w:rsid w:val="3E177737"/>
    <w:rsid w:val="40512D68"/>
    <w:rsid w:val="44634691"/>
    <w:rsid w:val="47D60D10"/>
    <w:rsid w:val="4AC11201"/>
    <w:rsid w:val="4BA559C7"/>
    <w:rsid w:val="4DBB3B00"/>
    <w:rsid w:val="4EA34EA3"/>
    <w:rsid w:val="4FC0735D"/>
    <w:rsid w:val="4FEE756F"/>
    <w:rsid w:val="502E3776"/>
    <w:rsid w:val="511C4722"/>
    <w:rsid w:val="53FC236A"/>
    <w:rsid w:val="580B1428"/>
    <w:rsid w:val="602816AC"/>
    <w:rsid w:val="63F8071B"/>
    <w:rsid w:val="646D1D84"/>
    <w:rsid w:val="64FE213F"/>
    <w:rsid w:val="67876653"/>
    <w:rsid w:val="67902011"/>
    <w:rsid w:val="68750E0A"/>
    <w:rsid w:val="6B15406E"/>
    <w:rsid w:val="6EC0497B"/>
    <w:rsid w:val="72697751"/>
    <w:rsid w:val="72E71F86"/>
    <w:rsid w:val="735465E8"/>
    <w:rsid w:val="73F62AA0"/>
    <w:rsid w:val="742606D8"/>
    <w:rsid w:val="78207C9D"/>
    <w:rsid w:val="7AB17C49"/>
    <w:rsid w:val="7ABB4647"/>
    <w:rsid w:val="7B65506F"/>
    <w:rsid w:val="7CF0541F"/>
    <w:rsid w:val="7E1A3B33"/>
    <w:rsid w:val="7E795155"/>
    <w:rsid w:val="7F8B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50" w:lineRule="exact"/>
      <w:ind w:firstLine="640" w:firstLineChars="200"/>
    </w:pPr>
    <w:rPr>
      <w:rFonts w:ascii="Times New Roman" w:hAnsi="Times New Roman" w:eastAsia="仿宋" w:cs="Times New Roman"/>
      <w:kern w:val="2"/>
      <w:sz w:val="32"/>
      <w:szCs w:val="24"/>
      <w:lang w:val="en-US" w:eastAsia="zh-CN" w:bidi="ar-SA"/>
    </w:rPr>
  </w:style>
  <w:style w:type="paragraph" w:styleId="2">
    <w:name w:val="heading 2"/>
    <w:basedOn w:val="1"/>
    <w:next w:val="1"/>
    <w:qFormat/>
    <w:uiPriority w:val="0"/>
    <w:pPr>
      <w:spacing w:before="100" w:beforeAutospacing="1" w:after="100" w:afterAutospacing="1"/>
      <w:outlineLvl w:val="1"/>
    </w:pPr>
    <w:rPr>
      <w:rFonts w:hint="eastAsia" w:ascii="宋体" w:hAnsi="宋体" w:eastAsia="宋体"/>
      <w:b/>
      <w:kern w:val="0"/>
      <w:sz w:val="36"/>
      <w:szCs w:val="36"/>
    </w:rPr>
  </w:style>
  <w:style w:type="paragraph" w:styleId="3">
    <w:name w:val="heading 3"/>
    <w:basedOn w:val="1"/>
    <w:next w:val="1"/>
    <w:link w:val="19"/>
    <w:unhideWhenUsed/>
    <w:qFormat/>
    <w:uiPriority w:val="0"/>
    <w:pPr>
      <w:keepNext/>
      <w:keepLines/>
      <w:spacing w:before="260" w:after="260" w:line="416" w:lineRule="atLeast"/>
      <w:outlineLvl w:val="2"/>
    </w:pPr>
    <w:rPr>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unhideWhenUsed/>
    <w:qFormat/>
    <w:uiPriority w:val="99"/>
    <w:pPr>
      <w:spacing w:after="120"/>
    </w:pPr>
  </w:style>
  <w:style w:type="paragraph" w:styleId="5">
    <w:name w:val="Plain Text"/>
    <w:basedOn w:val="1"/>
    <w:qFormat/>
    <w:uiPriority w:val="99"/>
    <w:rPr>
      <w:rFonts w:ascii="宋体" w:hAnsi="Courier New" w:eastAsia="宋体" w:cs="宋体"/>
      <w:sz w:val="21"/>
      <w:szCs w:val="21"/>
    </w:rPr>
  </w:style>
  <w:style w:type="paragraph" w:styleId="6">
    <w:name w:val="footer"/>
    <w:basedOn w:val="1"/>
    <w:next w:val="1"/>
    <w:unhideWhenUsed/>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u w:val="single"/>
    </w:rPr>
  </w:style>
  <w:style w:type="character" w:customStyle="1" w:styleId="14">
    <w:name w:val="font51"/>
    <w:basedOn w:val="12"/>
    <w:qFormat/>
    <w:uiPriority w:val="0"/>
    <w:rPr>
      <w:rFonts w:hint="eastAsia" w:ascii="方正仿宋简体" w:hAnsi="方正仿宋简体" w:eastAsia="方正仿宋简体" w:cs="方正仿宋简体"/>
      <w:color w:val="000000"/>
      <w:sz w:val="22"/>
      <w:szCs w:val="22"/>
      <w:u w:val="none"/>
    </w:rPr>
  </w:style>
  <w:style w:type="character" w:customStyle="1" w:styleId="15">
    <w:name w:val="font21"/>
    <w:basedOn w:val="12"/>
    <w:qFormat/>
    <w:uiPriority w:val="0"/>
    <w:rPr>
      <w:rFonts w:hint="default" w:ascii="Times New Roman" w:hAnsi="Times New Roman" w:cs="Times New Roman"/>
      <w:color w:val="000000"/>
      <w:sz w:val="22"/>
      <w:szCs w:val="22"/>
      <w:u w:val="none"/>
    </w:rPr>
  </w:style>
  <w:style w:type="character" w:customStyle="1" w:styleId="16">
    <w:name w:val="font11"/>
    <w:basedOn w:val="12"/>
    <w:qFormat/>
    <w:uiPriority w:val="0"/>
    <w:rPr>
      <w:rFonts w:hint="eastAsia" w:ascii="仿宋" w:hAnsi="仿宋" w:eastAsia="仿宋" w:cs="仿宋"/>
      <w:color w:val="000000"/>
      <w:sz w:val="24"/>
      <w:szCs w:val="24"/>
      <w:u w:val="none"/>
    </w:rPr>
  </w:style>
  <w:style w:type="character" w:customStyle="1" w:styleId="17">
    <w:name w:val="font01"/>
    <w:basedOn w:val="12"/>
    <w:qFormat/>
    <w:uiPriority w:val="0"/>
    <w:rPr>
      <w:rFonts w:hint="eastAsia" w:ascii="宋体" w:hAnsi="宋体" w:eastAsia="宋体" w:cs="宋体"/>
      <w:color w:val="000000"/>
      <w:sz w:val="20"/>
      <w:szCs w:val="20"/>
      <w:u w:val="none"/>
    </w:rPr>
  </w:style>
  <w:style w:type="character" w:customStyle="1" w:styleId="18">
    <w:name w:val="font41"/>
    <w:basedOn w:val="12"/>
    <w:qFormat/>
    <w:uiPriority w:val="0"/>
    <w:rPr>
      <w:rFonts w:hint="default" w:ascii="Times New Roman" w:hAnsi="Times New Roman" w:cs="Times New Roman"/>
      <w:color w:val="000000"/>
      <w:sz w:val="20"/>
      <w:szCs w:val="20"/>
      <w:u w:val="none"/>
    </w:rPr>
  </w:style>
  <w:style w:type="character" w:customStyle="1" w:styleId="19">
    <w:name w:val="标题 3 字符"/>
    <w:basedOn w:val="12"/>
    <w:link w:val="3"/>
    <w:qFormat/>
    <w:uiPriority w:val="0"/>
    <w:rPr>
      <w:rFonts w:eastAsia="仿宋"/>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18066</Words>
  <Characters>18781</Characters>
  <Lines>155</Lines>
  <Paragraphs>43</Paragraphs>
  <TotalTime>0</TotalTime>
  <ScaleCrop>false</ScaleCrop>
  <LinksUpToDate>false</LinksUpToDate>
  <CharactersWithSpaces>18876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2022-06-14T02:18:00Z</dcterms:created>
  <dc:creator>刘星</dc:creator>
  <cp:lastModifiedBy>不将就.cn</cp:lastModifiedBy>
  <dcterms:modified xsi:type="dcterms:W3CDTF">2022-06-14T03:35:57Z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5E57DCA2ABC44FC2BD2AC2F40DF05F0B</vt:lpwstr>
  </property>
</Properties>
</file>